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9A4B70">
      <w:pPr>
        <w:spacing w:line="64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附件2</w:t>
      </w:r>
    </w:p>
    <w:p w14:paraId="71A50BB7">
      <w:pPr>
        <w:pStyle w:val="3"/>
        <w:spacing w:after="0" w:line="640" w:lineRule="exact"/>
        <w:ind w:left="632" w:firstLine="632"/>
      </w:pPr>
    </w:p>
    <w:p w14:paraId="600D0DBD"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五种</w:t>
      </w: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  <w:t>门诊慢特病</w:t>
      </w: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病种</w:t>
      </w: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  <w:t>认定标准和</w:t>
      </w: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材料</w:t>
      </w:r>
    </w:p>
    <w:bookmarkEnd w:id="0"/>
    <w:p w14:paraId="56458275"/>
    <w:p w14:paraId="66135978">
      <w:pPr>
        <w:spacing w:line="560" w:lineRule="exact"/>
        <w:ind w:firstLine="640" w:firstLineChars="200"/>
        <w:rPr>
          <w:rFonts w:ascii="黑体" w:hAnsi="黑体" w:eastAsia="黑体" w:cs="仿宋_GB2312"/>
          <w:bCs/>
          <w:color w:val="000000"/>
          <w:szCs w:val="32"/>
        </w:rPr>
      </w:pPr>
      <w:r>
        <w:rPr>
          <w:rFonts w:hint="eastAsia"/>
          <w:lang w:val="en-US" w:eastAsia="zh-CN"/>
        </w:rPr>
        <w:t>1.</w:t>
      </w:r>
      <w:r>
        <w:rPr>
          <w:rFonts w:hint="eastAsia" w:ascii="黑体" w:hAnsi="黑体" w:eastAsia="黑体" w:cs="仿宋_GB2312"/>
          <w:bCs/>
          <w:color w:val="000000"/>
          <w:szCs w:val="32"/>
        </w:rPr>
        <w:t>耐多药肺结核</w:t>
      </w:r>
      <w:r>
        <w:rPr>
          <w:rFonts w:hint="eastAsia" w:ascii="黑体" w:hAnsi="黑体" w:eastAsia="黑体" w:cs="仿宋_GB2312"/>
          <w:bCs/>
          <w:color w:val="000000"/>
          <w:szCs w:val="32"/>
        </w:rPr>
        <w:tab/>
      </w:r>
    </w:p>
    <w:p w14:paraId="36A3F569"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（1）二级及以上医疗机构出具的“出院小结”或“疾病诊断证明书”；</w:t>
      </w:r>
    </w:p>
    <w:p w14:paraId="014C661F"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（2）有2种或以上抗结核药耐药试验阳性；</w:t>
      </w:r>
    </w:p>
    <w:p w14:paraId="318CBE5D"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 xml:space="preserve">（3）经耐药结核病定点救治医院病原学证实利福平耐药的出院患者，需门诊长期抗痨治疗，并既往有结核病住院病史且诊断明确的。                      </w:t>
      </w:r>
    </w:p>
    <w:p w14:paraId="69A1EB32"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认定标准：（1）+（2）（3）中任意一项,与结核病不同时享受。</w:t>
      </w:r>
    </w:p>
    <w:p w14:paraId="40656BF8">
      <w:pPr>
        <w:spacing w:line="560" w:lineRule="exact"/>
        <w:ind w:firstLine="640" w:firstLineChars="200"/>
        <w:rPr>
          <w:rFonts w:ascii="黑体" w:hAnsi="黑体" w:eastAsia="黑体" w:cs="仿宋_GB2312"/>
          <w:bCs/>
          <w:color w:val="000000"/>
          <w:szCs w:val="32"/>
        </w:rPr>
      </w:pPr>
      <w:r>
        <w:rPr>
          <w:rFonts w:hint="eastAsia" w:ascii="黑体" w:hAnsi="黑体" w:eastAsia="黑体" w:cs="仿宋_GB2312"/>
          <w:bCs/>
          <w:color w:val="000000"/>
          <w:szCs w:val="32"/>
        </w:rPr>
        <w:t>2.结核</w:t>
      </w:r>
      <w:r>
        <w:rPr>
          <w:rFonts w:hint="eastAsia" w:ascii="黑体" w:hAnsi="黑体" w:eastAsia="黑体" w:cs="仿宋_GB2312"/>
          <w:bCs/>
          <w:color w:val="000000"/>
          <w:szCs w:val="32"/>
        </w:rPr>
        <w:tab/>
      </w:r>
    </w:p>
    <w:p w14:paraId="7782D9F7"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 xml:space="preserve">（1）二级及以上医疗机构出具的“出院小结”或“疾病诊断证明书”；                             </w:t>
      </w:r>
    </w:p>
    <w:p w14:paraId="59F5FDFB"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 xml:space="preserve">（2）结核菌病原性检测阳性报告；             </w:t>
      </w:r>
    </w:p>
    <w:p w14:paraId="224747F0"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 xml:space="preserve">（3）近一年内服用抗结核药物记录。             </w:t>
      </w:r>
    </w:p>
    <w:p w14:paraId="252A47FC"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认定标准：（1）+（2）+（3）。</w:t>
      </w:r>
    </w:p>
    <w:p w14:paraId="13568BAF">
      <w:pPr>
        <w:spacing w:line="560" w:lineRule="exact"/>
        <w:ind w:firstLine="640" w:firstLineChars="200"/>
        <w:rPr>
          <w:rFonts w:ascii="黑体" w:hAnsi="黑体" w:eastAsia="黑体" w:cs="仿宋_GB2312"/>
          <w:bCs/>
          <w:color w:val="000000"/>
          <w:szCs w:val="32"/>
        </w:rPr>
      </w:pPr>
      <w:r>
        <w:rPr>
          <w:rFonts w:hint="eastAsia" w:ascii="黑体" w:hAnsi="黑体" w:eastAsia="黑体" w:cs="仿宋_GB2312"/>
          <w:bCs/>
          <w:color w:val="000000"/>
          <w:szCs w:val="32"/>
          <w:lang w:val="en-US" w:eastAsia="zh-CN"/>
        </w:rPr>
        <w:t>3</w:t>
      </w:r>
      <w:r>
        <w:rPr>
          <w:rFonts w:hint="eastAsia" w:ascii="黑体" w:hAnsi="黑体" w:eastAsia="黑体" w:cs="仿宋_GB2312"/>
          <w:bCs/>
          <w:color w:val="000000"/>
          <w:szCs w:val="32"/>
        </w:rPr>
        <w:t>.慢性骨髓炎</w:t>
      </w:r>
      <w:r>
        <w:rPr>
          <w:rFonts w:hint="eastAsia" w:ascii="黑体" w:hAnsi="黑体" w:eastAsia="黑体" w:cs="仿宋_GB2312"/>
          <w:bCs/>
          <w:color w:val="000000"/>
          <w:szCs w:val="32"/>
        </w:rPr>
        <w:tab/>
      </w:r>
    </w:p>
    <w:p w14:paraId="0D58194E"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 xml:space="preserve">（1）二级及以上医疗机构出具的“出院小结”或“疾病诊断证明书”；                             </w:t>
      </w:r>
    </w:p>
    <w:p w14:paraId="5C259E95"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 xml:space="preserve">（2）提供急性骨髓炎或开放性骨折病史记录；    </w:t>
      </w:r>
    </w:p>
    <w:p w14:paraId="4D47D5AC"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 xml:space="preserve">（3）X线及其他影像学检测阳性报告；          </w:t>
      </w:r>
    </w:p>
    <w:p w14:paraId="16E00A19"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 xml:space="preserve">（4）病变部位病历及实验室检查阳性报告。       </w:t>
      </w:r>
    </w:p>
    <w:p w14:paraId="593C4DF6"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认定标准：（1）+（2）+（3）+（4）。</w:t>
      </w:r>
    </w:p>
    <w:p w14:paraId="7637D869">
      <w:pPr>
        <w:spacing w:line="560" w:lineRule="exact"/>
        <w:ind w:firstLine="640" w:firstLineChars="200"/>
        <w:rPr>
          <w:rFonts w:ascii="黑体" w:hAnsi="黑体" w:eastAsia="黑体" w:cs="仿宋_GB2312"/>
          <w:bCs/>
          <w:color w:val="000000"/>
          <w:szCs w:val="32"/>
        </w:rPr>
      </w:pPr>
      <w:r>
        <w:rPr>
          <w:rFonts w:hint="eastAsia" w:ascii="黑体" w:hAnsi="黑体" w:eastAsia="黑体" w:cs="仿宋_GB2312"/>
          <w:bCs/>
          <w:color w:val="000000"/>
          <w:szCs w:val="32"/>
          <w:lang w:val="en-US" w:eastAsia="zh-CN"/>
        </w:rPr>
        <w:t>4</w:t>
      </w:r>
      <w:r>
        <w:rPr>
          <w:rFonts w:hint="eastAsia" w:ascii="黑体" w:hAnsi="黑体" w:eastAsia="黑体" w:cs="仿宋_GB2312"/>
          <w:bCs/>
          <w:color w:val="000000"/>
          <w:szCs w:val="32"/>
        </w:rPr>
        <w:t>.甲状腺功能亢进症</w:t>
      </w:r>
    </w:p>
    <w:p w14:paraId="72593008"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（1）二级及以上医疗机构出具的“出院小结”或“疾病诊断证明书”，除外了亚急性甲状腺炎、产后甲状腺炎、HCG相关性甲状腺毒症、甲状腺高功能腺瘤、垂体性甲亢；</w:t>
      </w:r>
    </w:p>
    <w:p w14:paraId="0270E6F1"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（2）二甲以上医疗机构甲状腺素测定（T3、T4、FT3、FT4、TSH）检验报告提示甲亢；</w:t>
      </w:r>
    </w:p>
    <w:p w14:paraId="00910C6D"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 xml:space="preserve">（3）3个月以上3次门诊诊疗记录。                   </w:t>
      </w:r>
    </w:p>
    <w:p w14:paraId="12662BE5"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认定标准：（1）+（2）+（3）。</w:t>
      </w:r>
    </w:p>
    <w:p w14:paraId="62C09B46">
      <w:pPr>
        <w:spacing w:line="560" w:lineRule="exact"/>
        <w:ind w:firstLine="640" w:firstLineChars="200"/>
        <w:rPr>
          <w:rFonts w:ascii="黑体" w:hAnsi="黑体" w:eastAsia="黑体" w:cs="仿宋_GB2312"/>
          <w:bCs/>
          <w:color w:val="000000"/>
          <w:szCs w:val="32"/>
        </w:rPr>
      </w:pPr>
      <w:r>
        <w:rPr>
          <w:rFonts w:hint="eastAsia" w:ascii="黑体" w:hAnsi="黑体" w:eastAsia="黑体" w:cs="仿宋_GB2312"/>
          <w:bCs/>
          <w:color w:val="000000"/>
          <w:szCs w:val="32"/>
          <w:lang w:val="en-US" w:eastAsia="zh-CN"/>
        </w:rPr>
        <w:t>5</w:t>
      </w:r>
      <w:r>
        <w:rPr>
          <w:rFonts w:hint="eastAsia" w:ascii="黑体" w:hAnsi="黑体" w:eastAsia="黑体" w:cs="仿宋_GB2312"/>
          <w:bCs/>
          <w:color w:val="000000"/>
          <w:szCs w:val="32"/>
        </w:rPr>
        <w:t>.泌尿系结石</w:t>
      </w:r>
    </w:p>
    <w:p w14:paraId="35A386B1"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 xml:space="preserve">（1）二级及以上医疗机构出具的“出院小结”或“疾病诊断证明书”；     </w:t>
      </w:r>
    </w:p>
    <w:p w14:paraId="5B2A9619"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（2）泌尿系CT 诊断结石大于0.4厘米。</w:t>
      </w:r>
    </w:p>
    <w:p w14:paraId="3F7681D0"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 xml:space="preserve"> 认定标准：（1）+（2）。</w:t>
      </w:r>
    </w:p>
    <w:p w14:paraId="31F2765A">
      <w:pPr>
        <w:rPr>
          <w:rFonts w:hint="default" w:eastAsia="宋体"/>
          <w:lang w:val="en-US" w:eastAsia="zh-CN"/>
        </w:rPr>
      </w:pPr>
    </w:p>
    <w:sectPr>
      <w:pgSz w:w="11900" w:h="16820"/>
      <w:pgMar w:top="2098" w:right="1531" w:bottom="1531" w:left="1984" w:header="1701" w:footer="1701" w:gutter="0"/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7C4FA1"/>
    <w:rsid w:val="3BE65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2024-12-27T03:34:00Z</dcterms:created>
  <dc:creator>Administrator</dc:creator>
  <cp:lastModifiedBy>WPS_1647477341</cp:lastModifiedBy>
  <dcterms:modified xsi:type="dcterms:W3CDTF">2025-12-02T01:21:40Z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3AE4B5C06CC3431BBE5BDD5E9E213C27_12</vt:lpwstr>
  </property>
  <property fmtid="{D5CDD505-2E9C-101B-9397-08002B2CF9AE}" pid="4" name="KSOTemplateDocerSaveRecord">
    <vt:lpwstr>eyJoZGlkIjoiZTAxMWNjMDE1NzQwZDU4MDY0ZTNhYTAyYTI5M2I1MGEiLCJ1c2VySWQiOiIxMzQ2ODYyOTA3In0=</vt:lpwstr>
  </property>
</Properties>
</file>