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1EA18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宋体" w:hAnsi="宋体" w:eastAsia="方正小标宋简体" w:cs="方正小标宋简体"/>
          <w:color w:val="auto"/>
          <w:sz w:val="44"/>
          <w:szCs w:val="44"/>
        </w:rPr>
      </w:pPr>
    </w:p>
    <w:p w14:paraId="45882F0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宋体" w:hAnsi="宋体" w:eastAsia="方正小标宋简体" w:cs="方正小标宋简体"/>
          <w:color w:val="auto"/>
          <w:sz w:val="44"/>
          <w:szCs w:val="44"/>
        </w:rPr>
      </w:pPr>
      <w:r>
        <w:rPr>
          <w:rFonts w:hint="eastAsia" w:ascii="宋体" w:hAnsi="宋体" w:eastAsia="方正小标宋简体" w:cs="方正小标宋简体"/>
          <w:color w:val="auto"/>
          <w:sz w:val="44"/>
          <w:szCs w:val="44"/>
        </w:rPr>
        <w:t>赣州全南县官山钨业有限责任公司“2·26”</w:t>
      </w:r>
    </w:p>
    <w:p w14:paraId="2563BF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宋体" w:hAnsi="宋体" w:eastAsia="方正小标宋简体" w:cs="方正小标宋简体"/>
          <w:color w:val="auto"/>
          <w:sz w:val="44"/>
          <w:szCs w:val="44"/>
        </w:rPr>
      </w:pPr>
      <w:r>
        <w:rPr>
          <w:rFonts w:hint="eastAsia" w:ascii="宋体" w:hAnsi="宋体" w:eastAsia="方正小标宋简体" w:cs="方正小标宋简体"/>
          <w:color w:val="auto"/>
          <w:sz w:val="44"/>
          <w:szCs w:val="44"/>
        </w:rPr>
        <w:t>一般机械伤害事故调查报告</w:t>
      </w:r>
    </w:p>
    <w:p w14:paraId="2E466C31">
      <w:pPr>
        <w:rPr>
          <w:rFonts w:hint="eastAsia" w:ascii="宋体" w:hAnsi="宋体" w:eastAsia="方正小标宋简体" w:cs="方正小标宋简体"/>
          <w:color w:val="auto"/>
          <w:sz w:val="44"/>
          <w:szCs w:val="44"/>
        </w:rPr>
      </w:pPr>
    </w:p>
    <w:p w14:paraId="7B339ADA">
      <w:pPr>
        <w:pStyle w:val="8"/>
        <w:rPr>
          <w:rFonts w:hint="eastAsia" w:ascii="宋体" w:hAnsi="宋体" w:eastAsia="方正小标宋简体" w:cs="方正小标宋简体"/>
          <w:color w:val="auto"/>
          <w:sz w:val="44"/>
          <w:szCs w:val="44"/>
        </w:rPr>
      </w:pPr>
    </w:p>
    <w:p w14:paraId="22AED376">
      <w:pPr>
        <w:rPr>
          <w:rFonts w:hint="eastAsia" w:ascii="宋体" w:hAnsi="宋体" w:eastAsia="方正小标宋简体" w:cs="方正小标宋简体"/>
          <w:color w:val="auto"/>
          <w:sz w:val="44"/>
          <w:szCs w:val="44"/>
        </w:rPr>
      </w:pPr>
    </w:p>
    <w:p w14:paraId="49DF3CF6">
      <w:pPr>
        <w:pStyle w:val="8"/>
        <w:rPr>
          <w:rFonts w:hint="eastAsia" w:ascii="宋体" w:hAnsi="宋体" w:eastAsia="方正小标宋简体" w:cs="方正小标宋简体"/>
          <w:color w:val="auto"/>
          <w:sz w:val="44"/>
          <w:szCs w:val="44"/>
        </w:rPr>
      </w:pPr>
    </w:p>
    <w:p w14:paraId="20942FC9">
      <w:pPr>
        <w:rPr>
          <w:rFonts w:hint="eastAsia" w:ascii="宋体" w:hAnsi="宋体" w:eastAsia="方正小标宋简体" w:cs="方正小标宋简体"/>
          <w:color w:val="auto"/>
          <w:sz w:val="44"/>
          <w:szCs w:val="44"/>
        </w:rPr>
      </w:pPr>
    </w:p>
    <w:p w14:paraId="6B21A29F">
      <w:pPr>
        <w:pStyle w:val="2"/>
        <w:rPr>
          <w:rFonts w:hint="eastAsia" w:ascii="宋体" w:hAnsi="宋体" w:eastAsia="方正小标宋简体" w:cs="方正小标宋简体"/>
          <w:color w:val="auto"/>
          <w:sz w:val="44"/>
          <w:szCs w:val="44"/>
        </w:rPr>
      </w:pPr>
    </w:p>
    <w:p w14:paraId="3332D5D4">
      <w:pPr>
        <w:pStyle w:val="2"/>
        <w:rPr>
          <w:rFonts w:hint="eastAsia" w:ascii="宋体" w:hAnsi="宋体" w:eastAsia="方正小标宋简体" w:cs="方正小标宋简体"/>
          <w:color w:val="auto"/>
          <w:sz w:val="44"/>
          <w:szCs w:val="44"/>
        </w:rPr>
      </w:pPr>
    </w:p>
    <w:p w14:paraId="04976420">
      <w:pPr>
        <w:pStyle w:val="2"/>
        <w:rPr>
          <w:rFonts w:hint="eastAsia" w:ascii="宋体" w:hAnsi="宋体" w:eastAsia="方正小标宋简体" w:cs="方正小标宋简体"/>
          <w:color w:val="auto"/>
          <w:sz w:val="44"/>
          <w:szCs w:val="44"/>
        </w:rPr>
      </w:pPr>
    </w:p>
    <w:p w14:paraId="5E5C601D">
      <w:pPr>
        <w:pStyle w:val="2"/>
        <w:rPr>
          <w:rFonts w:hint="eastAsia" w:ascii="宋体" w:hAnsi="宋体" w:eastAsia="方正小标宋简体" w:cs="方正小标宋简体"/>
          <w:color w:val="auto"/>
          <w:sz w:val="44"/>
          <w:szCs w:val="44"/>
        </w:rPr>
      </w:pPr>
    </w:p>
    <w:p w14:paraId="189C96E7">
      <w:pPr>
        <w:pStyle w:val="2"/>
        <w:rPr>
          <w:rFonts w:hint="eastAsia" w:ascii="宋体" w:hAnsi="宋体" w:eastAsia="方正小标宋简体" w:cs="方正小标宋简体"/>
          <w:color w:val="auto"/>
          <w:sz w:val="44"/>
          <w:szCs w:val="44"/>
        </w:rPr>
      </w:pPr>
    </w:p>
    <w:p w14:paraId="5BE2F92A">
      <w:pPr>
        <w:pStyle w:val="2"/>
        <w:rPr>
          <w:rFonts w:hint="eastAsia" w:ascii="宋体" w:hAnsi="宋体" w:eastAsia="方正小标宋简体" w:cs="方正小标宋简体"/>
          <w:color w:val="auto"/>
          <w:sz w:val="44"/>
          <w:szCs w:val="44"/>
        </w:rPr>
      </w:pPr>
    </w:p>
    <w:p w14:paraId="7D69F4C0">
      <w:pPr>
        <w:pStyle w:val="2"/>
        <w:ind w:left="0" w:leftChars="0" w:firstLine="0" w:firstLineChars="0"/>
        <w:rPr>
          <w:rFonts w:hint="eastAsia" w:ascii="宋体" w:hAnsi="宋体" w:eastAsia="方正小标宋简体" w:cs="方正小标宋简体"/>
          <w:color w:val="auto"/>
          <w:sz w:val="44"/>
          <w:szCs w:val="44"/>
        </w:rPr>
      </w:pPr>
    </w:p>
    <w:p w14:paraId="3F8FA3D0">
      <w:pPr>
        <w:jc w:val="center"/>
        <w:rPr>
          <w:rFonts w:hint="eastAsia" w:ascii="仿宋_GB2312" w:hAnsi="仿宋_GB2312" w:eastAsia="仿宋_GB2312" w:cs="仿宋_GB2312"/>
          <w:color w:val="auto"/>
          <w:sz w:val="32"/>
          <w:szCs w:val="32"/>
          <w:highlight w:val="none"/>
          <w:lang w:eastAsia="zh-CN"/>
        </w:rPr>
      </w:pPr>
    </w:p>
    <w:p w14:paraId="2653751D">
      <w:pPr>
        <w:jc w:val="center"/>
        <w:rPr>
          <w:rFonts w:hint="eastAsia" w:ascii="仿宋_GB2312" w:hAnsi="仿宋_GB2312" w:eastAsia="仿宋_GB2312" w:cs="仿宋_GB2312"/>
          <w:color w:val="auto"/>
          <w:sz w:val="32"/>
          <w:szCs w:val="32"/>
          <w:highlight w:val="none"/>
          <w:lang w:eastAsia="zh-CN"/>
        </w:rPr>
      </w:pPr>
    </w:p>
    <w:p w14:paraId="09F906EE">
      <w:pPr>
        <w:jc w:val="center"/>
        <w:rPr>
          <w:rFonts w:hint="eastAsia" w:ascii="仿宋_GB2312" w:hAnsi="仿宋_GB2312" w:eastAsia="仿宋_GB2312" w:cs="仿宋_GB2312"/>
          <w:color w:val="auto"/>
          <w:sz w:val="32"/>
          <w:szCs w:val="32"/>
          <w:highlight w:val="none"/>
          <w:lang w:eastAsia="zh-CN"/>
        </w:rPr>
      </w:pPr>
    </w:p>
    <w:p w14:paraId="5D982247">
      <w:pPr>
        <w:jc w:val="center"/>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赣州市政府事故调查组</w:t>
      </w:r>
    </w:p>
    <w:p w14:paraId="0F433AC0">
      <w:pPr>
        <w:pStyle w:val="2"/>
        <w:ind w:left="0" w:leftChars="0" w:firstLine="0" w:firstLineChars="0"/>
        <w:jc w:val="center"/>
        <w:rPr>
          <w:rFonts w:hint="default"/>
          <w:lang w:val="en-US" w:eastAsia="zh-CN"/>
        </w:rPr>
      </w:pPr>
      <w:r>
        <w:rPr>
          <w:rFonts w:hint="eastAsia" w:ascii="仿宋_GB2312" w:hAnsi="仿宋_GB2312" w:eastAsia="仿宋_GB2312" w:cs="仿宋_GB2312"/>
          <w:color w:val="auto"/>
          <w:sz w:val="32"/>
          <w:szCs w:val="32"/>
          <w:highlight w:val="none"/>
          <w:lang w:val="en-US" w:eastAsia="zh-CN"/>
        </w:rPr>
        <w:t>2025年4月</w:t>
      </w:r>
    </w:p>
    <w:p w14:paraId="685137B4">
      <w:pPr>
        <w:jc w:val="center"/>
        <w:rPr>
          <w:rFonts w:hint="eastAsia" w:ascii="仿宋_GB2312" w:hAnsi="仿宋_GB2312" w:eastAsia="仿宋_GB2312" w:cs="仿宋_GB2312"/>
          <w:color w:val="auto"/>
          <w:sz w:val="32"/>
          <w:szCs w:val="32"/>
          <w:highlight w:val="none"/>
          <w:lang w:eastAsia="zh-CN"/>
        </w:rPr>
      </w:pPr>
    </w:p>
    <w:p w14:paraId="19764BB2">
      <w:pPr>
        <w:jc w:val="center"/>
        <w:rPr>
          <w:rFonts w:hint="eastAsia" w:ascii="仿宋_GB2312" w:hAnsi="仿宋_GB2312" w:eastAsia="仿宋_GB2312" w:cs="仿宋_GB2312"/>
          <w:color w:val="auto"/>
          <w:sz w:val="32"/>
          <w:szCs w:val="32"/>
          <w:highlight w:val="none"/>
          <w:lang w:eastAsia="zh-CN"/>
        </w:rPr>
      </w:pPr>
    </w:p>
    <w:sdt>
      <w:sdtPr>
        <w:rPr>
          <w:rFonts w:ascii="宋体" w:hAnsi="宋体" w:eastAsia="宋体" w:cs="Times New Roman"/>
          <w:kern w:val="2"/>
          <w:sz w:val="21"/>
          <w:szCs w:val="22"/>
          <w:lang w:val="en-US" w:eastAsia="zh-CN" w:bidi="ar-SA"/>
        </w:rPr>
        <w:id w:val="147462511"/>
        <w:docPartObj>
          <w:docPartGallery w:val="Table of Contents"/>
          <w:docPartUnique/>
        </w:docPartObj>
      </w:sdtPr>
      <w:sdtEndPr>
        <w:rPr>
          <w:rFonts w:ascii="Times New Roman" w:hAnsi="Times New Roman" w:eastAsia="宋体" w:cs="Times New Roman"/>
          <w:kern w:val="2"/>
          <w:sz w:val="20"/>
          <w:szCs w:val="20"/>
          <w:lang w:val="en-US" w:eastAsia="zh-CN" w:bidi="ar-SA"/>
        </w:rPr>
      </w:sdtEndPr>
      <w:sdtContent>
        <w:p w14:paraId="1C44963D">
          <w:pPr>
            <w:spacing w:before="0" w:beforeLines="0" w:after="0" w:afterLines="0" w:line="360" w:lineRule="auto"/>
            <w:ind w:left="0" w:leftChars="0" w:right="0" w:rightChars="0" w:firstLine="0" w:firstLineChars="0"/>
            <w:jc w:val="center"/>
            <w:rPr>
              <w:rFonts w:ascii="宋体" w:hAnsi="宋体" w:eastAsia="宋体"/>
              <w:b/>
              <w:bCs/>
              <w:sz w:val="32"/>
              <w:szCs w:val="32"/>
            </w:rPr>
          </w:pPr>
          <w:bookmarkStart w:id="0" w:name="_Toc690184912_WPSOffice_Type3"/>
          <w:r>
            <w:rPr>
              <w:rFonts w:ascii="宋体" w:hAnsi="宋体" w:eastAsia="宋体"/>
              <w:b/>
              <w:bCs/>
              <w:sz w:val="32"/>
              <w:szCs w:val="32"/>
            </w:rPr>
            <w:t>目</w:t>
          </w:r>
          <w:r>
            <w:rPr>
              <w:rFonts w:hint="eastAsia" w:ascii="宋体" w:hAnsi="宋体" w:eastAsia="宋体"/>
              <w:b/>
              <w:bCs/>
              <w:sz w:val="32"/>
              <w:szCs w:val="32"/>
              <w:lang w:val="en-US" w:eastAsia="zh-CN"/>
            </w:rPr>
            <w:t xml:space="preserve"> </w:t>
          </w:r>
          <w:r>
            <w:rPr>
              <w:rFonts w:ascii="宋体" w:hAnsi="宋体" w:eastAsia="宋体"/>
              <w:b/>
              <w:bCs/>
              <w:sz w:val="32"/>
              <w:szCs w:val="32"/>
            </w:rPr>
            <w:t>录</w:t>
          </w:r>
        </w:p>
        <w:p w14:paraId="455EA41D">
          <w:pPr>
            <w:pStyle w:val="2"/>
          </w:pPr>
        </w:p>
        <w:p w14:paraId="7A724D32">
          <w:pPr>
            <w:pStyle w:val="19"/>
            <w:tabs>
              <w:tab w:val="right" w:leader="dot" w:pos="8732"/>
            </w:tabs>
            <w:spacing w:line="440" w:lineRule="exact"/>
          </w:pPr>
          <w:r>
            <w:fldChar w:fldCharType="begin"/>
          </w:r>
          <w:r>
            <w:instrText xml:space="preserve"> HYPERLINK \l _Toc1544134395_WPSOffice_Level1 </w:instrText>
          </w:r>
          <w:r>
            <w:fldChar w:fldCharType="separate"/>
          </w:r>
          <w:sdt>
            <w:sdtPr>
              <w:rPr>
                <w:rFonts w:ascii="Calibri" w:hAnsi="Calibri" w:eastAsia="宋体" w:cs="Times New Roman"/>
                <w:kern w:val="2"/>
                <w:sz w:val="21"/>
                <w:szCs w:val="22"/>
                <w:lang w:val="en-US" w:eastAsia="zh-CN" w:bidi="ar-SA"/>
              </w:rPr>
              <w:id w:val="854545976"/>
              <w:placeholder>
                <w:docPart w:val="{e45a5fca-3dc8-4161-ac17-6cf82bc22c30}"/>
              </w:placeholder>
            </w:sdtPr>
            <w:sdtEndPr>
              <w:rPr>
                <w:rFonts w:hint="eastAsia" w:ascii="黑体" w:hAnsi="黑体" w:eastAsia="黑体" w:cs="黑体"/>
                <w:kern w:val="2"/>
                <w:sz w:val="24"/>
                <w:szCs w:val="24"/>
                <w:lang w:val="en-US" w:eastAsia="zh-CN" w:bidi="ar-SA"/>
              </w:rPr>
            </w:sdtEndPr>
            <w:sdtContent>
              <w:r>
                <w:rPr>
                  <w:rFonts w:ascii="黑体" w:hAnsi="黑体" w:eastAsia="黑体" w:cs="黑体"/>
                  <w:sz w:val="24"/>
                  <w:szCs w:val="24"/>
                </w:rPr>
                <w:t>一、</w:t>
              </w:r>
              <w:r>
                <w:rPr>
                  <w:rFonts w:hint="eastAsia" w:ascii="黑体" w:hAnsi="黑体" w:eastAsia="黑体" w:cs="黑体"/>
                  <w:sz w:val="24"/>
                  <w:szCs w:val="24"/>
                </w:rPr>
                <w:t>事故</w:t>
              </w:r>
              <w:r>
                <w:rPr>
                  <w:rFonts w:ascii="黑体" w:hAnsi="黑体" w:eastAsia="黑体" w:cs="黑体"/>
                  <w:sz w:val="24"/>
                  <w:szCs w:val="24"/>
                </w:rPr>
                <w:t>基本情况</w:t>
              </w:r>
            </w:sdtContent>
          </w:sdt>
          <w:r>
            <w:rPr>
              <w:rFonts w:hint="eastAsia" w:asciiTheme="minorEastAsia" w:hAnsiTheme="minorEastAsia" w:eastAsiaTheme="minorEastAsia" w:cstheme="minorEastAsia"/>
              <w:sz w:val="24"/>
              <w:szCs w:val="24"/>
            </w:rPr>
            <w:tab/>
          </w:r>
          <w:r>
            <w:fldChar w:fldCharType="end"/>
          </w:r>
          <w:r>
            <w:rPr>
              <w:rFonts w:hint="default" w:asciiTheme="minorEastAsia" w:hAnsiTheme="minorEastAsia" w:eastAsiaTheme="minorEastAsia" w:cstheme="minorEastAsia"/>
              <w:sz w:val="24"/>
              <w:szCs w:val="24"/>
              <w:lang w:val="en-US"/>
            </w:rPr>
            <w:t>3</w:t>
          </w:r>
        </w:p>
        <w:p w14:paraId="4170D57E">
          <w:pPr>
            <w:pStyle w:val="20"/>
            <w:tabs>
              <w:tab w:val="right" w:leader="dot" w:pos="8732"/>
            </w:tabs>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_Toc690184912_WPSOffice_Level2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58993"/>
              <w:placeholder>
                <w:docPart w:val="{7ec394a0-8a00-421a-8206-5ec19defa707}"/>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（一）事故发生单位情况</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3</w:t>
          </w:r>
        </w:p>
        <w:p w14:paraId="74ADF7CB">
          <w:pPr>
            <w:pStyle w:val="20"/>
            <w:tabs>
              <w:tab w:val="right" w:leader="dot" w:pos="8732"/>
            </w:tabs>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_Toc1017385315_WPSOffice_Level2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74208"/>
              <w:placeholder>
                <w:docPart w:val="{4c14c30e-45e7-4052-b285-c93b25dca7dd}"/>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（二）官山钨业安全生产管理情况</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4</w:t>
          </w:r>
        </w:p>
        <w:p w14:paraId="4E9C5111">
          <w:pPr>
            <w:pStyle w:val="20"/>
            <w:tabs>
              <w:tab w:val="right" w:leader="dot" w:pos="8732"/>
            </w:tabs>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_Toc1476336310_WPSOffice_Level2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74606"/>
              <w:placeholder>
                <w:docPart w:val="{7ab294e2-9984-484c-bb09-7d0eaae4c880}"/>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（三）相关部门及属地乡镇安全监管情况</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5</w:t>
          </w:r>
        </w:p>
        <w:p w14:paraId="51A9CFC5">
          <w:pPr>
            <w:pStyle w:val="20"/>
            <w:tabs>
              <w:tab w:val="right" w:leader="dot" w:pos="8732"/>
            </w:tabs>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_Toc2020450899_WPSOffice_Level2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76290"/>
              <w:placeholder>
                <w:docPart w:val="{300c235a-cfea-438f-9e6e-af8053f65e6f}"/>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（四）事故发生经过</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6</w:t>
          </w:r>
        </w:p>
        <w:p w14:paraId="35755A45">
          <w:pPr>
            <w:pStyle w:val="20"/>
            <w:tabs>
              <w:tab w:val="right" w:leader="dot" w:pos="8732"/>
            </w:tabs>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_Toc70913467_WPSOffice_Level2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81949"/>
              <w:placeholder>
                <w:docPart w:val="{53222f54-020d-46ac-8166-624972159685}"/>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（五）事故现场勘查情况</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7</w:t>
          </w:r>
        </w:p>
        <w:p w14:paraId="4F6697B4">
          <w:pPr>
            <w:pStyle w:val="20"/>
            <w:tabs>
              <w:tab w:val="right" w:leader="dot" w:pos="8732"/>
            </w:tabs>
            <w:spacing w:line="440" w:lineRule="exact"/>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_Toc901375335_WPSOffice_Level2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56728"/>
              <w:placeholder>
                <w:docPart w:val="{862f6b78-0961-4732-bc02-b06f04757b1c}"/>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（六）人员伤亡和直接经济损失</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9</w:t>
          </w:r>
        </w:p>
        <w:p w14:paraId="4778ACEB">
          <w:pPr>
            <w:pStyle w:val="19"/>
            <w:tabs>
              <w:tab w:val="right" w:leader="dot" w:pos="8732"/>
            </w:tabs>
            <w:spacing w:line="440" w:lineRule="exact"/>
          </w:pPr>
          <w:r>
            <w:fldChar w:fldCharType="begin"/>
          </w:r>
          <w:r>
            <w:instrText xml:space="preserve"> HYPERLINK \l _Toc690184912_WPSOffice_Level1 </w:instrText>
          </w:r>
          <w:r>
            <w:fldChar w:fldCharType="separate"/>
          </w:r>
          <w:sdt>
            <w:sdtPr>
              <w:rPr>
                <w:rFonts w:ascii="Calibri" w:hAnsi="Calibri" w:eastAsia="宋体" w:cs="Times New Roman"/>
                <w:kern w:val="2"/>
                <w:sz w:val="21"/>
                <w:szCs w:val="22"/>
                <w:lang w:val="en-US" w:eastAsia="zh-CN" w:bidi="ar-SA"/>
              </w:rPr>
              <w:id w:val="147469077"/>
              <w:placeholder>
                <w:docPart w:val="{23fc86c9-a262-49eb-b351-59ef8628bec8}"/>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黑体" w:hAnsi="黑体" w:eastAsia="黑体" w:cs="黑体"/>
                  <w:sz w:val="24"/>
                  <w:szCs w:val="24"/>
                </w:rPr>
                <w:t>二、事故应急处置及评估</w:t>
              </w:r>
            </w:sdtContent>
          </w:sdt>
          <w:r>
            <w:rPr>
              <w:rFonts w:hint="eastAsia" w:asciiTheme="minorEastAsia" w:hAnsiTheme="minorEastAsia" w:eastAsiaTheme="minorEastAsia" w:cstheme="minorEastAsia"/>
              <w:sz w:val="24"/>
              <w:szCs w:val="24"/>
            </w:rPr>
            <w:tab/>
          </w:r>
          <w:r>
            <w:fldChar w:fldCharType="end"/>
          </w:r>
          <w:r>
            <w:rPr>
              <w:rFonts w:hint="default" w:asciiTheme="minorEastAsia" w:hAnsiTheme="minorEastAsia" w:eastAsiaTheme="minorEastAsia" w:cstheme="minorEastAsia"/>
              <w:sz w:val="24"/>
              <w:szCs w:val="24"/>
              <w:lang w:val="en-US"/>
            </w:rPr>
            <w:t>9</w:t>
          </w:r>
        </w:p>
        <w:p w14:paraId="5F7F99BD">
          <w:pPr>
            <w:pStyle w:val="20"/>
            <w:tabs>
              <w:tab w:val="right" w:leader="dot" w:pos="8732"/>
            </w:tabs>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_Toc1157585998_WPSOffice_Level2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76513"/>
              <w:placeholder>
                <w:docPart w:val="{3e38937a-f2ae-4a4e-95b2-8187f99e3bf1}"/>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（一）事故信息接报及响应情况</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9</w:t>
          </w:r>
        </w:p>
        <w:p w14:paraId="431FE9F1">
          <w:pPr>
            <w:pStyle w:val="20"/>
            <w:tabs>
              <w:tab w:val="right" w:leader="dot" w:pos="8732"/>
            </w:tabs>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_Toc1887158512_WPSOffice_Level2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78601"/>
              <w:placeholder>
                <w:docPart w:val="{53827b93-cd7b-4931-936f-e68affceeb31}"/>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（二）事故现场应急处置及评估情况</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9</w:t>
          </w:r>
        </w:p>
        <w:p w14:paraId="1D97B3C7">
          <w:pPr>
            <w:pStyle w:val="20"/>
            <w:tabs>
              <w:tab w:val="right" w:leader="dot" w:pos="8732"/>
            </w:tabs>
            <w:spacing w:line="440" w:lineRule="exact"/>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_Toc2039665725_WPSOffice_Level2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66299"/>
              <w:placeholder>
                <w:docPart w:val="{6811de6d-be62-4392-b970-76d08027abcd}"/>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（三）善后处理情况</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9</w:t>
          </w:r>
        </w:p>
        <w:p w14:paraId="7DD70B58">
          <w:pPr>
            <w:pStyle w:val="19"/>
            <w:tabs>
              <w:tab w:val="right" w:leader="dot" w:pos="8732"/>
            </w:tabs>
            <w:spacing w:line="440" w:lineRule="exact"/>
            <w:rPr>
              <w:rFonts w:hint="default"/>
              <w:lang w:val="en-US"/>
            </w:rPr>
          </w:pPr>
          <w:r>
            <w:fldChar w:fldCharType="begin"/>
          </w:r>
          <w:r>
            <w:instrText xml:space="preserve"> HYPERLINK \l _Toc1017385315_WPSOffice_Level1 </w:instrText>
          </w:r>
          <w:r>
            <w:fldChar w:fldCharType="separate"/>
          </w:r>
          <w:sdt>
            <w:sdtPr>
              <w:rPr>
                <w:rFonts w:ascii="Calibri" w:hAnsi="Calibri" w:eastAsia="宋体" w:cs="Times New Roman"/>
                <w:kern w:val="2"/>
                <w:sz w:val="21"/>
                <w:szCs w:val="22"/>
                <w:lang w:val="en-US" w:eastAsia="zh-CN" w:bidi="ar-SA"/>
              </w:rPr>
              <w:id w:val="147467324"/>
              <w:placeholder>
                <w:docPart w:val="{3946c831-1bf6-4d7d-8582-02cec3704d18}"/>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黑体" w:hAnsi="黑体" w:eastAsia="黑体" w:cs="黑体"/>
                  <w:sz w:val="24"/>
                  <w:szCs w:val="24"/>
                </w:rPr>
                <w:t>三、事故原因分析</w:t>
              </w:r>
            </w:sdtContent>
          </w:sdt>
          <w:r>
            <w:rPr>
              <w:rFonts w:hint="eastAsia" w:asciiTheme="minorEastAsia" w:hAnsiTheme="minorEastAsia" w:eastAsiaTheme="minorEastAsia" w:cstheme="minorEastAsia"/>
              <w:sz w:val="24"/>
              <w:szCs w:val="24"/>
            </w:rPr>
            <w:tab/>
          </w:r>
          <w:r>
            <w:fldChar w:fldCharType="end"/>
          </w:r>
          <w:r>
            <w:rPr>
              <w:rFonts w:hint="default" w:asciiTheme="minorEastAsia" w:hAnsiTheme="minorEastAsia" w:eastAsiaTheme="minorEastAsia" w:cstheme="minorEastAsia"/>
              <w:sz w:val="24"/>
              <w:szCs w:val="24"/>
              <w:lang w:val="en-US"/>
            </w:rPr>
            <w:t>10</w:t>
          </w:r>
        </w:p>
        <w:p w14:paraId="4516E1C0">
          <w:pPr>
            <w:pStyle w:val="20"/>
            <w:tabs>
              <w:tab w:val="right" w:leader="dot" w:pos="8732"/>
            </w:tabs>
            <w:spacing w:line="440" w:lineRule="exact"/>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_Toc1510780107_WPSOffice_Level2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55359"/>
              <w:placeholder>
                <w:docPart w:val="{2f781574-99e4-4bbd-9e4c-dbffb2c9bac1}"/>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（一）直接原因</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10</w:t>
          </w:r>
        </w:p>
        <w:p w14:paraId="4F89C1F4">
          <w:pPr>
            <w:pStyle w:val="20"/>
            <w:tabs>
              <w:tab w:val="right" w:leader="dot" w:pos="8732"/>
            </w:tabs>
            <w:spacing w:line="440" w:lineRule="exact"/>
            <w:rPr>
              <w:rFonts w:hint="default"/>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_Toc1364696248_WPSOffice_Level2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2"/>
                <w:sz w:val="24"/>
                <w:szCs w:val="24"/>
                <w:lang w:val="en-US" w:eastAsia="zh-CN" w:bidi="ar-SA"/>
              </w:rPr>
              <w:id w:val="147457902"/>
              <w:placeholder>
                <w:docPart w:val="{5129a75d-1fc6-40a0-8b90-d71c25cc7aeb}"/>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heme="minorEastAsia" w:hAnsiTheme="minorEastAsia" w:eastAsiaTheme="minorEastAsia" w:cstheme="minorEastAsia"/>
                  <w:sz w:val="24"/>
                  <w:szCs w:val="24"/>
                </w:rPr>
                <w:t>（二）其他可能因素排除</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10</w:t>
          </w:r>
        </w:p>
        <w:p w14:paraId="1EAA6BCA">
          <w:pPr>
            <w:pStyle w:val="19"/>
            <w:tabs>
              <w:tab w:val="right" w:leader="dot" w:pos="8732"/>
            </w:tabs>
            <w:spacing w:line="440" w:lineRule="exact"/>
            <w:rPr>
              <w:rFonts w:hint="default"/>
              <w:lang w:val="en-US"/>
            </w:rPr>
          </w:pPr>
          <w:r>
            <w:fldChar w:fldCharType="begin"/>
          </w:r>
          <w:r>
            <w:instrText xml:space="preserve"> HYPERLINK \l _Toc1476336310_WPSOffice_Level1 </w:instrText>
          </w:r>
          <w:r>
            <w:fldChar w:fldCharType="separate"/>
          </w:r>
          <w:sdt>
            <w:sdtPr>
              <w:rPr>
                <w:rFonts w:hint="eastAsia" w:ascii="黑体" w:hAnsi="黑体" w:eastAsia="黑体" w:cs="黑体"/>
                <w:kern w:val="2"/>
                <w:sz w:val="24"/>
                <w:szCs w:val="24"/>
                <w:lang w:val="en-US" w:eastAsia="zh-CN" w:bidi="ar-SA"/>
              </w:rPr>
              <w:id w:val="147451850"/>
              <w:placeholder>
                <w:docPart w:val="{44d0a35e-930d-4e78-9640-3ab9f8680eed}"/>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黑体" w:hAnsi="黑体" w:eastAsia="黑体" w:cs="黑体"/>
                  <w:sz w:val="24"/>
                  <w:szCs w:val="24"/>
                </w:rPr>
                <w:t>四、事故暴露出的主要问题</w:t>
              </w:r>
            </w:sdtContent>
          </w:sdt>
          <w:r>
            <w:rPr>
              <w:rFonts w:hint="eastAsia" w:asciiTheme="minorEastAsia" w:hAnsiTheme="minorEastAsia" w:eastAsiaTheme="minorEastAsia" w:cstheme="minorEastAsia"/>
              <w:sz w:val="24"/>
              <w:szCs w:val="24"/>
            </w:rPr>
            <w:tab/>
          </w:r>
          <w:r>
            <w:fldChar w:fldCharType="end"/>
          </w:r>
          <w:r>
            <w:rPr>
              <w:rFonts w:hint="default" w:asciiTheme="minorEastAsia" w:hAnsiTheme="minorEastAsia" w:eastAsiaTheme="minorEastAsia" w:cstheme="minorEastAsia"/>
              <w:sz w:val="24"/>
              <w:szCs w:val="24"/>
              <w:lang w:val="en-US"/>
            </w:rPr>
            <w:t>10</w:t>
          </w:r>
        </w:p>
        <w:p w14:paraId="1351BF7B">
          <w:pPr>
            <w:pStyle w:val="20"/>
            <w:tabs>
              <w:tab w:val="right" w:leader="dot" w:pos="8732"/>
            </w:tabs>
            <w:spacing w:line="440" w:lineRule="exact"/>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_Toc1101667561_WPSOffice_Level2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0"/>
                <w:sz w:val="24"/>
                <w:szCs w:val="24"/>
                <w:lang w:val="en-US" w:eastAsia="zh-CN" w:bidi="ar-SA"/>
              </w:rPr>
              <w:id w:val="147482188"/>
              <w:placeholder>
                <w:docPart w:val="{03cc7e79-7970-4cbc-9538-5aeb5be7c2a3}"/>
              </w:placeholder>
            </w:sdtPr>
            <w:sdtEndPr>
              <w:rPr>
                <w:rFonts w:hint="eastAsia" w:asciiTheme="minorEastAsia" w:hAnsiTheme="minorEastAsia" w:eastAsiaTheme="minorEastAsia" w:cstheme="minorEastAsia"/>
                <w:kern w:val="0"/>
                <w:sz w:val="24"/>
                <w:szCs w:val="24"/>
                <w:lang w:val="en-US" w:eastAsia="zh-CN" w:bidi="ar-SA"/>
              </w:rPr>
            </w:sdtEndPr>
            <w:sdtContent>
              <w:r>
                <w:rPr>
                  <w:rFonts w:hint="eastAsia" w:asciiTheme="minorEastAsia" w:hAnsiTheme="minorEastAsia" w:eastAsiaTheme="minorEastAsia" w:cstheme="minorEastAsia"/>
                  <w:sz w:val="24"/>
                  <w:szCs w:val="24"/>
                </w:rPr>
                <w:t>（一）官山钨业</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10</w:t>
          </w:r>
        </w:p>
        <w:p w14:paraId="5671CB75">
          <w:pPr>
            <w:pStyle w:val="20"/>
            <w:tabs>
              <w:tab w:val="right" w:leader="dot" w:pos="8732"/>
            </w:tabs>
            <w:spacing w:line="440" w:lineRule="exact"/>
            <w:rPr>
              <w:rFonts w:hint="default"/>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_Toc952273309_WPSOffice_Level2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0"/>
                <w:sz w:val="24"/>
                <w:szCs w:val="24"/>
                <w:lang w:val="en-US" w:eastAsia="zh-CN" w:bidi="ar-SA"/>
              </w:rPr>
              <w:id w:val="147451353"/>
              <w:placeholder>
                <w:docPart w:val="{50b64163-19d1-4ce8-8546-f256dfc19261}"/>
              </w:placeholder>
            </w:sdtPr>
            <w:sdtEndPr>
              <w:rPr>
                <w:rFonts w:hint="eastAsia" w:asciiTheme="minorEastAsia" w:hAnsiTheme="minorEastAsia" w:eastAsiaTheme="minorEastAsia" w:cstheme="minorEastAsia"/>
                <w:kern w:val="0"/>
                <w:sz w:val="24"/>
                <w:szCs w:val="24"/>
                <w:lang w:val="en-US" w:eastAsia="zh-CN" w:bidi="ar-SA"/>
              </w:rPr>
            </w:sdtEndPr>
            <w:sdtContent>
              <w:r>
                <w:rPr>
                  <w:rFonts w:hint="eastAsia" w:asciiTheme="minorEastAsia" w:hAnsiTheme="minorEastAsia" w:eastAsiaTheme="minorEastAsia" w:cstheme="minorEastAsia"/>
                  <w:sz w:val="24"/>
                  <w:szCs w:val="24"/>
                </w:rPr>
                <w:t>（二）相关职能部门的问题</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11</w:t>
          </w:r>
        </w:p>
        <w:p w14:paraId="6EB694F3">
          <w:pPr>
            <w:pStyle w:val="19"/>
            <w:tabs>
              <w:tab w:val="right" w:leader="dot" w:pos="8732"/>
            </w:tabs>
            <w:spacing w:line="440" w:lineRule="exact"/>
            <w:rPr>
              <w:rFonts w:hint="default"/>
              <w:lang w:val="en-US"/>
            </w:rPr>
          </w:pPr>
          <w:r>
            <w:fldChar w:fldCharType="begin"/>
          </w:r>
          <w:r>
            <w:instrText xml:space="preserve"> HYPERLINK \l _Toc2020450899_WPSOffice_Level1 </w:instrText>
          </w:r>
          <w:r>
            <w:fldChar w:fldCharType="separate"/>
          </w:r>
          <w:sdt>
            <w:sdtPr>
              <w:rPr>
                <w:rFonts w:ascii="Calibri" w:hAnsi="Calibri" w:eastAsia="宋体" w:cs="Times New Roman"/>
                <w:kern w:val="2"/>
                <w:sz w:val="21"/>
                <w:szCs w:val="22"/>
                <w:lang w:val="en-US" w:eastAsia="zh-CN" w:bidi="ar-SA"/>
              </w:rPr>
              <w:id w:val="147482761"/>
              <w:placeholder>
                <w:docPart w:val="{68f6063c-4f90-4a93-8976-36b4d0f76597}"/>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Times New Roman" w:hAnsi="Times New Roman" w:eastAsia="黑体" w:cs="Times New Roman"/>
                  <w:sz w:val="24"/>
                  <w:szCs w:val="24"/>
                </w:rPr>
                <w:t>五</w:t>
              </w:r>
              <w:r>
                <w:rPr>
                  <w:rFonts w:hint="default" w:ascii="Times New Roman" w:hAnsi="Times New Roman" w:eastAsia="黑体" w:cs="Times New Roman"/>
                  <w:sz w:val="24"/>
                  <w:szCs w:val="24"/>
                </w:rPr>
                <w:t>、事故责任划分及处理建议</w:t>
              </w:r>
            </w:sdtContent>
          </w:sdt>
          <w:r>
            <w:rPr>
              <w:rFonts w:hint="eastAsia" w:asciiTheme="minorEastAsia" w:hAnsiTheme="minorEastAsia" w:eastAsiaTheme="minorEastAsia" w:cstheme="minorEastAsia"/>
              <w:sz w:val="24"/>
              <w:szCs w:val="24"/>
            </w:rPr>
            <w:tab/>
          </w:r>
          <w:r>
            <w:fldChar w:fldCharType="end"/>
          </w:r>
          <w:r>
            <w:rPr>
              <w:rFonts w:hint="default" w:asciiTheme="minorEastAsia" w:hAnsiTheme="minorEastAsia" w:eastAsiaTheme="minorEastAsia" w:cstheme="minorEastAsia"/>
              <w:sz w:val="24"/>
              <w:szCs w:val="24"/>
              <w:lang w:val="en-US"/>
            </w:rPr>
            <w:t>11</w:t>
          </w:r>
        </w:p>
        <w:p w14:paraId="202DB435">
          <w:pPr>
            <w:pStyle w:val="20"/>
            <w:tabs>
              <w:tab w:val="right" w:leader="dot" w:pos="8732"/>
            </w:tabs>
            <w:spacing w:line="440" w:lineRule="exact"/>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_Toc1190948948_WPSOffice_Level2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0"/>
                <w:sz w:val="24"/>
                <w:szCs w:val="24"/>
                <w:lang w:val="en-US" w:eastAsia="zh-CN" w:bidi="ar-SA"/>
              </w:rPr>
              <w:id w:val="147459271"/>
              <w:placeholder>
                <w:docPart w:val="{2d6a95af-5d61-4fa4-ad42-eba9fc5c20d0}"/>
              </w:placeholder>
            </w:sdtPr>
            <w:sdtEndPr>
              <w:rPr>
                <w:rFonts w:hint="eastAsia" w:asciiTheme="minorEastAsia" w:hAnsiTheme="minorEastAsia" w:eastAsiaTheme="minorEastAsia" w:cstheme="minorEastAsia"/>
                <w:kern w:val="0"/>
                <w:sz w:val="24"/>
                <w:szCs w:val="24"/>
                <w:lang w:val="en-US" w:eastAsia="zh-CN" w:bidi="ar-SA"/>
              </w:rPr>
            </w:sdtEndPr>
            <w:sdtContent>
              <w:r>
                <w:rPr>
                  <w:rFonts w:hint="eastAsia" w:asciiTheme="minorEastAsia" w:hAnsiTheme="minorEastAsia" w:eastAsiaTheme="minorEastAsia" w:cstheme="minorEastAsia"/>
                  <w:sz w:val="24"/>
                  <w:szCs w:val="24"/>
                </w:rPr>
                <w:t>（一）对事故单位及有关责任人员的处罚建议</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11</w:t>
          </w:r>
        </w:p>
        <w:p w14:paraId="7BA172CE">
          <w:pPr>
            <w:pStyle w:val="20"/>
            <w:tabs>
              <w:tab w:val="right" w:leader="dot" w:pos="8732"/>
            </w:tabs>
            <w:spacing w:line="440" w:lineRule="exact"/>
            <w:rPr>
              <w:rFonts w:hint="default"/>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_Toc1426448195_WPSOffice_Level2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0"/>
                <w:sz w:val="24"/>
                <w:szCs w:val="24"/>
                <w:lang w:val="en-US" w:eastAsia="zh-CN" w:bidi="ar-SA"/>
              </w:rPr>
              <w:id w:val="147474993"/>
              <w:placeholder>
                <w:docPart w:val="{531e90bf-4830-4287-8db3-d5c7dbd1747b}"/>
              </w:placeholder>
            </w:sdtPr>
            <w:sdtEndPr>
              <w:rPr>
                <w:rFonts w:hint="eastAsia" w:asciiTheme="minorEastAsia" w:hAnsiTheme="minorEastAsia" w:eastAsiaTheme="minorEastAsia" w:cstheme="minorEastAsia"/>
                <w:kern w:val="0"/>
                <w:sz w:val="24"/>
                <w:szCs w:val="24"/>
                <w:lang w:val="en-US" w:eastAsia="zh-CN" w:bidi="ar-SA"/>
              </w:rPr>
            </w:sdtEndPr>
            <w:sdtContent>
              <w:r>
                <w:rPr>
                  <w:rFonts w:hint="eastAsia" w:asciiTheme="minorEastAsia" w:hAnsiTheme="minorEastAsia" w:eastAsiaTheme="minorEastAsia" w:cstheme="minorEastAsia"/>
                  <w:sz w:val="24"/>
                  <w:szCs w:val="24"/>
                </w:rPr>
                <w:t>（二）其他建议</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14</w:t>
          </w:r>
        </w:p>
        <w:p w14:paraId="4A442E44">
          <w:pPr>
            <w:pStyle w:val="19"/>
            <w:tabs>
              <w:tab w:val="right" w:leader="dot" w:pos="8732"/>
            </w:tabs>
            <w:spacing w:line="440" w:lineRule="exact"/>
            <w:rPr>
              <w:rFonts w:hint="default"/>
              <w:lang w:val="en-US"/>
            </w:rPr>
          </w:pPr>
          <w:r>
            <w:fldChar w:fldCharType="begin"/>
          </w:r>
          <w:r>
            <w:instrText xml:space="preserve"> HYPERLINK \l _Toc70913467_WPSOffice_Level1 </w:instrText>
          </w:r>
          <w:r>
            <w:fldChar w:fldCharType="separate"/>
          </w:r>
          <w:sdt>
            <w:sdtPr>
              <w:rPr>
                <w:rFonts w:hint="eastAsia" w:ascii="黑体" w:hAnsi="黑体" w:eastAsia="黑体" w:cs="黑体"/>
                <w:kern w:val="2"/>
                <w:sz w:val="24"/>
                <w:szCs w:val="24"/>
                <w:lang w:val="en-US" w:eastAsia="zh-CN" w:bidi="ar-SA"/>
              </w:rPr>
              <w:id w:val="147463766"/>
              <w:placeholder>
                <w:docPart w:val="{c4536fab-6a71-437a-9cee-21c1ac34344c}"/>
              </w:placeholder>
            </w:sdtPr>
            <w:sdtEndPr>
              <w:rPr>
                <w:rFonts w:hint="eastAsia" w:asciiTheme="minorEastAsia" w:hAnsiTheme="minorEastAsia" w:eastAsiaTheme="minorEastAsia" w:cstheme="minorEastAsia"/>
                <w:kern w:val="2"/>
                <w:sz w:val="24"/>
                <w:szCs w:val="24"/>
                <w:lang w:val="en-US" w:eastAsia="zh-CN" w:bidi="ar-SA"/>
              </w:rPr>
            </w:sdtEndPr>
            <w:sdtContent>
              <w:r>
                <w:rPr>
                  <w:rFonts w:hint="eastAsia" w:ascii="黑体" w:hAnsi="黑体" w:eastAsia="黑体" w:cs="黑体"/>
                  <w:sz w:val="24"/>
                  <w:szCs w:val="24"/>
                </w:rPr>
                <w:t>六</w:t>
              </w:r>
              <w:r>
                <w:rPr>
                  <w:rFonts w:ascii="黑体" w:hAnsi="黑体" w:eastAsia="黑体" w:cs="黑体"/>
                  <w:sz w:val="24"/>
                  <w:szCs w:val="24"/>
                </w:rPr>
                <w:t>、事故</w:t>
              </w:r>
              <w:r>
                <w:rPr>
                  <w:rFonts w:hint="eastAsia" w:ascii="黑体" w:hAnsi="黑体" w:eastAsia="黑体" w:cs="黑体"/>
                  <w:sz w:val="24"/>
                  <w:szCs w:val="24"/>
                </w:rPr>
                <w:t>防范措施建议</w:t>
              </w:r>
            </w:sdtContent>
          </w:sdt>
          <w:r>
            <w:rPr>
              <w:rFonts w:hint="eastAsia" w:asciiTheme="minorEastAsia" w:hAnsiTheme="minorEastAsia" w:eastAsiaTheme="minorEastAsia" w:cstheme="minorEastAsia"/>
              <w:sz w:val="24"/>
              <w:szCs w:val="24"/>
            </w:rPr>
            <w:tab/>
          </w:r>
          <w:r>
            <w:fldChar w:fldCharType="end"/>
          </w:r>
          <w:r>
            <w:rPr>
              <w:rFonts w:hint="default" w:asciiTheme="minorEastAsia" w:hAnsiTheme="minorEastAsia" w:eastAsiaTheme="minorEastAsia" w:cstheme="minorEastAsia"/>
              <w:sz w:val="24"/>
              <w:szCs w:val="24"/>
              <w:lang w:val="en-US"/>
            </w:rPr>
            <w:t>14</w:t>
          </w:r>
        </w:p>
        <w:p w14:paraId="243BEF04">
          <w:pPr>
            <w:pStyle w:val="20"/>
            <w:tabs>
              <w:tab w:val="right" w:leader="dot" w:pos="8732"/>
            </w:tabs>
            <w:spacing w:line="440" w:lineRule="exact"/>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_Toc2029235920_WPSOffice_Level2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0"/>
                <w:sz w:val="24"/>
                <w:szCs w:val="24"/>
                <w:lang w:val="en-US" w:eastAsia="zh-CN" w:bidi="ar-SA"/>
              </w:rPr>
              <w:id w:val="147463246"/>
              <w:placeholder>
                <w:docPart w:val="{46c27de9-eb02-4ba7-a8a0-f8600e028fde}"/>
              </w:placeholder>
            </w:sdtPr>
            <w:sdtEndPr>
              <w:rPr>
                <w:rFonts w:hint="eastAsia" w:asciiTheme="minorEastAsia" w:hAnsiTheme="minorEastAsia" w:eastAsiaTheme="minorEastAsia" w:cstheme="minorEastAsia"/>
                <w:kern w:val="0"/>
                <w:sz w:val="24"/>
                <w:szCs w:val="24"/>
                <w:lang w:val="en-US" w:eastAsia="zh-CN" w:bidi="ar-SA"/>
              </w:rPr>
            </w:sdtEndPr>
            <w:sdtContent>
              <w:r>
                <w:rPr>
                  <w:rFonts w:hint="eastAsia" w:asciiTheme="minorEastAsia" w:hAnsiTheme="minorEastAsia" w:eastAsiaTheme="minorEastAsia" w:cstheme="minorEastAsia"/>
                  <w:sz w:val="24"/>
                  <w:szCs w:val="24"/>
                </w:rPr>
                <w:t>（一）提高政治站位，树牢安全发展理念</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14</w:t>
          </w:r>
        </w:p>
        <w:p w14:paraId="6824962A">
          <w:pPr>
            <w:pStyle w:val="20"/>
            <w:tabs>
              <w:tab w:val="right" w:leader="dot" w:pos="8732"/>
            </w:tabs>
            <w:spacing w:line="440" w:lineRule="exact"/>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_Toc2110811489_WPSOffice_Level2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0"/>
                <w:sz w:val="24"/>
                <w:szCs w:val="24"/>
                <w:lang w:val="en-US" w:eastAsia="zh-CN" w:bidi="ar-SA"/>
              </w:rPr>
              <w:id w:val="147461245"/>
              <w:placeholder>
                <w:docPart w:val="{9282b4cd-bbff-412b-b9e3-8f3f59b03bdd}"/>
              </w:placeholder>
            </w:sdtPr>
            <w:sdtEndPr>
              <w:rPr>
                <w:rFonts w:hint="eastAsia" w:asciiTheme="minorEastAsia" w:hAnsiTheme="minorEastAsia" w:eastAsiaTheme="minorEastAsia" w:cstheme="minorEastAsia"/>
                <w:kern w:val="0"/>
                <w:sz w:val="24"/>
                <w:szCs w:val="24"/>
                <w:lang w:val="en-US" w:eastAsia="zh-CN" w:bidi="ar-SA"/>
              </w:rPr>
            </w:sdtEndPr>
            <w:sdtContent>
              <w:r>
                <w:rPr>
                  <w:rFonts w:hint="eastAsia" w:asciiTheme="minorEastAsia" w:hAnsiTheme="minorEastAsia" w:eastAsiaTheme="minorEastAsia" w:cstheme="minorEastAsia"/>
                  <w:sz w:val="24"/>
                  <w:szCs w:val="24"/>
                </w:rPr>
                <w:t>（二）开展隐患排查集中整治行动，切实消除安全隐患</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14</w:t>
          </w:r>
        </w:p>
        <w:p w14:paraId="47D37E8C">
          <w:pPr>
            <w:pStyle w:val="20"/>
            <w:tabs>
              <w:tab w:val="right" w:leader="dot" w:pos="8732"/>
            </w:tabs>
            <w:spacing w:line="440" w:lineRule="exact"/>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_Toc236367516_WPSOffice_Level2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0"/>
                <w:sz w:val="24"/>
                <w:szCs w:val="24"/>
                <w:lang w:val="en-US" w:eastAsia="zh-CN" w:bidi="ar-SA"/>
              </w:rPr>
              <w:id w:val="147452346"/>
              <w:placeholder>
                <w:docPart w:val="{09b3ed87-7d3e-4f6b-a742-e925e4c94880}"/>
              </w:placeholder>
            </w:sdtPr>
            <w:sdtEndPr>
              <w:rPr>
                <w:rFonts w:hint="eastAsia" w:asciiTheme="minorEastAsia" w:hAnsiTheme="minorEastAsia" w:eastAsiaTheme="minorEastAsia" w:cstheme="minorEastAsia"/>
                <w:kern w:val="0"/>
                <w:sz w:val="24"/>
                <w:szCs w:val="24"/>
                <w:lang w:val="en-US" w:eastAsia="zh-CN" w:bidi="ar-SA"/>
              </w:rPr>
            </w:sdtEndPr>
            <w:sdtContent>
              <w:r>
                <w:rPr>
                  <w:rFonts w:hint="eastAsia" w:asciiTheme="minorEastAsia" w:hAnsiTheme="minorEastAsia" w:eastAsiaTheme="minorEastAsia" w:cstheme="minorEastAsia"/>
                  <w:sz w:val="24"/>
                  <w:szCs w:val="24"/>
                </w:rPr>
                <w:t>（三）严格监管执法，保持打非治违高压态势</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r>
            <w:rPr>
              <w:rFonts w:hint="default" w:asciiTheme="minorEastAsia" w:hAnsiTheme="minorEastAsia" w:eastAsiaTheme="minorEastAsia" w:cstheme="minorEastAsia"/>
              <w:sz w:val="24"/>
              <w:szCs w:val="24"/>
              <w:lang w:val="en-US"/>
            </w:rPr>
            <w:t>15</w:t>
          </w:r>
        </w:p>
        <w:p w14:paraId="5DF1C845">
          <w:pPr>
            <w:pStyle w:val="20"/>
            <w:tabs>
              <w:tab w:val="right" w:leader="dot" w:pos="8732"/>
            </w:tabs>
            <w:spacing w:line="440" w:lineRule="exact"/>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_Toc2137996214_WPSOffice_Level2 </w:instrText>
          </w:r>
          <w:r>
            <w:rPr>
              <w:rFonts w:hint="eastAsia" w:asciiTheme="minorEastAsia" w:hAnsiTheme="minorEastAsia" w:eastAsiaTheme="minorEastAsia" w:cstheme="minorEastAsia"/>
              <w:sz w:val="24"/>
              <w:szCs w:val="24"/>
            </w:rPr>
            <w:fldChar w:fldCharType="separate"/>
          </w:r>
          <w:sdt>
            <w:sdtPr>
              <w:rPr>
                <w:rFonts w:hint="eastAsia" w:asciiTheme="minorEastAsia" w:hAnsiTheme="minorEastAsia" w:eastAsiaTheme="minorEastAsia" w:cstheme="minorEastAsia"/>
                <w:kern w:val="0"/>
                <w:sz w:val="24"/>
                <w:szCs w:val="24"/>
                <w:lang w:val="en-US" w:eastAsia="zh-CN" w:bidi="ar-SA"/>
              </w:rPr>
              <w:id w:val="147453047"/>
              <w:placeholder>
                <w:docPart w:val="{e4e6ba5a-bd8c-4b35-aab3-068e7c58abab}"/>
              </w:placeholder>
            </w:sdtPr>
            <w:sdtEndPr>
              <w:rPr>
                <w:rFonts w:hint="eastAsia" w:asciiTheme="minorEastAsia" w:hAnsiTheme="minorEastAsia" w:eastAsiaTheme="minorEastAsia" w:cstheme="minorEastAsia"/>
                <w:kern w:val="0"/>
                <w:sz w:val="24"/>
                <w:szCs w:val="24"/>
                <w:lang w:val="en-US" w:eastAsia="zh-CN" w:bidi="ar-SA"/>
              </w:rPr>
            </w:sdtEndPr>
            <w:sdtContent>
              <w:r>
                <w:rPr>
                  <w:rFonts w:hint="eastAsia" w:asciiTheme="minorEastAsia" w:hAnsiTheme="minorEastAsia" w:eastAsiaTheme="minorEastAsia" w:cstheme="minorEastAsia"/>
                  <w:sz w:val="24"/>
                  <w:szCs w:val="24"/>
                </w:rPr>
                <w:t>（四）严把复工复产关，确保安全有序复产</w:t>
              </w:r>
            </w:sdtContent>
          </w:sdt>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end"/>
          </w:r>
          <w:bookmarkEnd w:id="0"/>
          <w:r>
            <w:rPr>
              <w:rFonts w:hint="default" w:asciiTheme="minorEastAsia" w:hAnsiTheme="minorEastAsia" w:eastAsiaTheme="minorEastAsia" w:cstheme="minorEastAsia"/>
              <w:sz w:val="24"/>
              <w:szCs w:val="24"/>
              <w:lang w:val="en-US"/>
            </w:rPr>
            <w:t>15</w:t>
          </w:r>
        </w:p>
      </w:sdtContent>
    </w:sdt>
    <w:p w14:paraId="5AC79696">
      <w:pPr>
        <w:keepNext w:val="0"/>
        <w:keepLines w:val="0"/>
        <w:pageBreakBefore/>
        <w:widowControl w:val="0"/>
        <w:numPr>
          <w:ilvl w:val="0"/>
          <w:numId w:val="0"/>
        </w:numPr>
        <w:kinsoku/>
        <w:wordWrap/>
        <w:overflowPunct/>
        <w:topLinePunct w:val="0"/>
        <w:autoSpaceDE/>
        <w:autoSpaceDN/>
        <w:bidi w:val="0"/>
        <w:adjustRightInd/>
        <w:snapToGrid/>
        <w:spacing w:beforeLines="0" w:afterLines="0" w:line="600" w:lineRule="exact"/>
        <w:ind w:firstLine="672" w:firstLineChars="200"/>
        <w:jc w:val="both"/>
        <w:textAlignment w:val="auto"/>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2025年2月26日15时10分许，全南县官山钨业有限责任公司+232m中段发生一起机械伤害事故，造成1人死亡。</w:t>
      </w:r>
    </w:p>
    <w:p w14:paraId="27271BDC">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72" w:firstLineChars="200"/>
        <w:jc w:val="both"/>
        <w:textAlignment w:val="auto"/>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依据《中华人民共和国安全生产法》《生产安全事故报告和调查处理条例》等法律法规的要求，202</w:t>
      </w:r>
      <w:r>
        <w:rPr>
          <w:rFonts w:hint="default"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5</w:t>
      </w:r>
      <w:r>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年</w:t>
      </w:r>
      <w:r>
        <w:rPr>
          <w:rFonts w:hint="default"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月</w:t>
      </w:r>
      <w:r>
        <w:rPr>
          <w:rFonts w:hint="default"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日，赣州市人民政府成立由市应急管理局牵头，市公安局、市自然资源局、市总工会，全南县人民政府等单位派员组成的事故调查组，邀请市纪委市监委派员参加，国家矿山安全监察局江西局派员参与，开展事故调查工作。事故调查组按照“科学严谨、依法依规、实事求是、注重实效”和“四不放过”的原则，通过调取监控、现场勘验、调查取证、综合分析等方式，查明了事故发生的经过、原因、应急处置、人员伤亡和直接经济损失，认定了事故性质和责任，提出了对有关责任人员及责任单位的处理建议和事故防范措施建议。</w:t>
      </w:r>
    </w:p>
    <w:p w14:paraId="22319C72">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jc w:val="both"/>
        <w:textAlignment w:val="auto"/>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经调查认定，</w:t>
      </w:r>
      <w:r>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全南县官山钨业有限责任公司</w:t>
      </w:r>
      <w:r>
        <w:rPr>
          <w:rFonts w:hint="eastAsia" w:asciiTheme="minorEastAsia" w:hAnsiTheme="minorEastAsia" w:eastAsiaTheme="minorEastAsia" w:cstheme="minorEastAsia"/>
          <w:b w:val="0"/>
          <w:bCs w:val="0"/>
          <w:color w:val="000000" w:themeColor="text1"/>
          <w:kern w:val="0"/>
          <w:sz w:val="32"/>
          <w:szCs w:val="32"/>
          <w:lang w:val="en-US" w:eastAsia="zh-CN"/>
          <w14:textFill>
            <w14:solidFill>
              <w14:schemeClr w14:val="tx1"/>
            </w14:solidFill>
          </w14:textFill>
        </w:rPr>
        <w:t>“2·26”</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一般机械伤害事故是一起因作业人员操作失误造成的生产安全责任</w:t>
      </w:r>
      <w:r>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事故</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p>
    <w:p w14:paraId="6DD4CE08">
      <w:pPr>
        <w:keepNext w:val="0"/>
        <w:keepLines w:val="0"/>
        <w:pageBreakBefore w:val="0"/>
        <w:widowControl/>
        <w:kinsoku/>
        <w:wordWrap/>
        <w:overflowPunct/>
        <w:topLinePunct w:val="0"/>
        <w:autoSpaceDE/>
        <w:autoSpaceDN/>
        <w:bidi w:val="0"/>
        <w:adjustRightInd w:val="0"/>
        <w:snapToGrid w:val="0"/>
        <w:spacing w:beforeLines="0" w:afterLines="0" w:line="600" w:lineRule="exact"/>
        <w:ind w:left="672"/>
        <w:jc w:val="both"/>
        <w:textAlignment w:val="baseline"/>
        <w:outlineLvl w:val="0"/>
        <w:rPr>
          <w:rFonts w:ascii="黑体" w:hAnsi="黑体" w:eastAsia="黑体" w:cs="黑体"/>
          <w:b w:val="0"/>
          <w:bCs w:val="0"/>
          <w:color w:val="000000" w:themeColor="text1"/>
          <w:sz w:val="32"/>
          <w:szCs w:val="32"/>
          <w14:textFill>
            <w14:solidFill>
              <w14:schemeClr w14:val="tx1"/>
            </w14:solidFill>
          </w14:textFill>
        </w:rPr>
      </w:pPr>
      <w:bookmarkStart w:id="1" w:name="_Toc1544134395_WPSOffice_Level1"/>
      <w:r>
        <w:rPr>
          <w:rFonts w:ascii="黑体" w:hAnsi="黑体" w:eastAsia="黑体" w:cs="黑体"/>
          <w:b w:val="0"/>
          <w:bCs w:val="0"/>
          <w:color w:val="000000" w:themeColor="text1"/>
          <w:spacing w:val="7"/>
          <w:sz w:val="32"/>
          <w:szCs w:val="32"/>
          <w14:textFill>
            <w14:solidFill>
              <w14:schemeClr w14:val="tx1"/>
            </w14:solidFill>
          </w14:textFill>
        </w:rPr>
        <w:t>一、</w:t>
      </w:r>
      <w:r>
        <w:rPr>
          <w:rFonts w:hint="eastAsia" w:ascii="黑体" w:hAnsi="黑体" w:eastAsia="黑体" w:cs="黑体"/>
          <w:b w:val="0"/>
          <w:bCs w:val="0"/>
          <w:color w:val="000000" w:themeColor="text1"/>
          <w:spacing w:val="7"/>
          <w:sz w:val="32"/>
          <w:szCs w:val="32"/>
          <w:lang w:eastAsia="zh-CN"/>
          <w14:textFill>
            <w14:solidFill>
              <w14:schemeClr w14:val="tx1"/>
            </w14:solidFill>
          </w14:textFill>
        </w:rPr>
        <w:t>事故</w:t>
      </w:r>
      <w:r>
        <w:rPr>
          <w:rFonts w:ascii="黑体" w:hAnsi="黑体" w:eastAsia="黑体" w:cs="黑体"/>
          <w:b w:val="0"/>
          <w:bCs w:val="0"/>
          <w:color w:val="000000" w:themeColor="text1"/>
          <w:spacing w:val="7"/>
          <w:sz w:val="32"/>
          <w:szCs w:val="32"/>
          <w14:textFill>
            <w14:solidFill>
              <w14:schemeClr w14:val="tx1"/>
            </w14:solidFill>
          </w14:textFill>
        </w:rPr>
        <w:t>基本情况</w:t>
      </w:r>
      <w:bookmarkEnd w:id="1"/>
    </w:p>
    <w:p w14:paraId="2055CAEC">
      <w:pPr>
        <w:pStyle w:val="9"/>
        <w:keepNext w:val="0"/>
        <w:keepLines w:val="0"/>
        <w:pageBreakBefore w:val="0"/>
        <w:widowControl/>
        <w:kinsoku/>
        <w:wordWrap/>
        <w:overflowPunct/>
        <w:topLinePunct w:val="0"/>
        <w:autoSpaceDE/>
        <w:autoSpaceDN/>
        <w:bidi w:val="0"/>
        <w:adjustRightInd w:val="0"/>
        <w:snapToGrid w:val="0"/>
        <w:spacing w:beforeLines="0" w:afterLines="0" w:line="600" w:lineRule="exact"/>
        <w:ind w:left="34" w:right="40" w:firstLine="641"/>
        <w:jc w:val="both"/>
        <w:textAlignment w:val="baseline"/>
        <w:outlineLvl w:val="1"/>
        <w:rPr>
          <w:rFonts w:hint="eastAsia" w:ascii="楷体_GB2312" w:hAnsi="楷体_GB2312" w:eastAsia="楷体_GB2312" w:cs="楷体_GB2312"/>
          <w:b w:val="0"/>
          <w:bCs w:val="0"/>
          <w:color w:val="000000" w:themeColor="text1"/>
          <w:spacing w:val="8"/>
          <w:sz w:val="32"/>
          <w:szCs w:val="32"/>
          <w:lang w:val="en-US" w:eastAsia="zh-CN"/>
          <w14:textFill>
            <w14:solidFill>
              <w14:schemeClr w14:val="tx1"/>
            </w14:solidFill>
          </w14:textFill>
        </w:rPr>
      </w:pPr>
      <w:bookmarkStart w:id="2" w:name="_Toc690184912_WPSOffice_Level2"/>
      <w:r>
        <w:rPr>
          <w:rFonts w:hint="eastAsia" w:ascii="楷体_GB2312" w:hAnsi="楷体_GB2312" w:eastAsia="楷体_GB2312" w:cs="楷体_GB2312"/>
          <w:b w:val="0"/>
          <w:bCs w:val="0"/>
          <w:snapToGrid w:val="0"/>
          <w:color w:val="000000" w:themeColor="text1"/>
          <w:spacing w:val="8"/>
          <w:kern w:val="0"/>
          <w:sz w:val="32"/>
          <w:szCs w:val="32"/>
          <w:lang w:val="en-US" w:eastAsia="zh-CN" w:bidi="ar-SA"/>
          <w14:textFill>
            <w14:solidFill>
              <w14:schemeClr w14:val="tx1"/>
            </w14:solidFill>
          </w14:textFill>
        </w:rPr>
        <w:t>（一）事故发生单位情况</w:t>
      </w:r>
      <w:bookmarkEnd w:id="2"/>
    </w:p>
    <w:p w14:paraId="19DB3899">
      <w:pPr>
        <w:pStyle w:val="9"/>
        <w:keepNext w:val="0"/>
        <w:keepLines w:val="0"/>
        <w:pageBreakBefore w:val="0"/>
        <w:widowControl w:val="0"/>
        <w:kinsoku/>
        <w:wordWrap/>
        <w:overflowPunct/>
        <w:topLinePunct w:val="0"/>
        <w:autoSpaceDE/>
        <w:autoSpaceDN/>
        <w:bidi w:val="0"/>
        <w:adjustRightInd w:val="0"/>
        <w:snapToGrid w:val="0"/>
        <w:spacing w:beforeLines="0" w:afterLines="0" w:line="600" w:lineRule="exact"/>
        <w:ind w:firstLine="640" w:firstLineChars="200"/>
        <w:jc w:val="both"/>
        <w:textAlignment w:val="baseline"/>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2"/>
          <w:szCs w:val="32"/>
          <w14:textFill>
            <w14:solidFill>
              <w14:schemeClr w14:val="tx1"/>
            </w14:solidFill>
          </w14:textFill>
        </w:rPr>
        <w:t>全南县官山钨业有限责任公司（以下简称官山钨业）是广东贤丰控股集团有限公司全资控股公司，位于全南县陂头镇竹山村，公司主要负责人：谢志良。该公司持有全南县市场监督管理局颁发的《营业执照》，统一社会信用代码：91360729767026740K；法定代表人：谢明访；营业期限：2005年3月18日至2025年3月17日。</w:t>
      </w:r>
    </w:p>
    <w:p w14:paraId="64D57E75">
      <w:pPr>
        <w:pStyle w:val="9"/>
        <w:keepNext w:val="0"/>
        <w:keepLines w:val="0"/>
        <w:pageBreakBefore w:val="0"/>
        <w:widowControl w:val="0"/>
        <w:kinsoku/>
        <w:wordWrap/>
        <w:overflowPunct/>
        <w:topLinePunct w:val="0"/>
        <w:autoSpaceDE/>
        <w:autoSpaceDN/>
        <w:bidi w:val="0"/>
        <w:adjustRightInd w:val="0"/>
        <w:snapToGrid w:val="0"/>
        <w:spacing w:beforeLines="0" w:afterLines="0" w:line="600" w:lineRule="exact"/>
        <w:ind w:firstLine="640" w:firstLineChars="200"/>
        <w:jc w:val="both"/>
        <w:textAlignment w:val="baseline"/>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《中华人民共和国采矿许可证》，</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采矿权人：</w:t>
      </w:r>
      <w:r>
        <w:rPr>
          <w:rFonts w:hint="eastAsia" w:ascii="仿宋_GB2312" w:hAnsi="仿宋_GB2312" w:eastAsia="仿宋_GB2312" w:cs="仿宋_GB2312"/>
          <w:b w:val="0"/>
          <w:bCs w:val="0"/>
          <w:color w:val="000000" w:themeColor="text1"/>
          <w:sz w:val="32"/>
          <w:szCs w:val="32"/>
          <w14:textFill>
            <w14:solidFill>
              <w14:schemeClr w14:val="tx1"/>
            </w14:solidFill>
          </w14:textFill>
        </w:rPr>
        <w:t>官山钨业</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证号：C3600002011013220104050；开采矿种：钨矿、锡矿；生产规模：3.8万吨/年；矿区面积：0.472平方公里，开采深度：由38</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5m</w:t>
      </w:r>
      <w:r>
        <w:rPr>
          <w:rFonts w:hint="eastAsia" w:ascii="仿宋_GB2312" w:hAnsi="仿宋_GB2312" w:eastAsia="仿宋_GB2312" w:cs="仿宋_GB2312"/>
          <w:b w:val="0"/>
          <w:bCs w:val="0"/>
          <w:color w:val="000000" w:themeColor="text1"/>
          <w:sz w:val="32"/>
          <w:szCs w:val="32"/>
          <w14:textFill>
            <w14:solidFill>
              <w14:schemeClr w14:val="tx1"/>
            </w14:solidFill>
          </w14:textFill>
        </w:rPr>
        <w:t>至150</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m</w:t>
      </w:r>
      <w:r>
        <w:rPr>
          <w:rFonts w:hint="eastAsia" w:ascii="仿宋_GB2312" w:hAnsi="仿宋_GB2312" w:eastAsia="仿宋_GB2312" w:cs="仿宋_GB2312"/>
          <w:b w:val="0"/>
          <w:bCs w:val="0"/>
          <w:color w:val="000000" w:themeColor="text1"/>
          <w:sz w:val="32"/>
          <w:szCs w:val="32"/>
          <w14:textFill>
            <w14:solidFill>
              <w14:schemeClr w14:val="tx1"/>
            </w14:solidFill>
          </w14:textFill>
        </w:rPr>
        <w:t>标高；有效期限：2021年6月24日至2031年6月24日。</w:t>
      </w:r>
    </w:p>
    <w:p w14:paraId="2457FB25">
      <w:pPr>
        <w:pStyle w:val="9"/>
        <w:keepNext w:val="0"/>
        <w:keepLines w:val="0"/>
        <w:pageBreakBefore w:val="0"/>
        <w:widowControl w:val="0"/>
        <w:kinsoku/>
        <w:wordWrap/>
        <w:overflowPunct/>
        <w:topLinePunct w:val="0"/>
        <w:autoSpaceDE/>
        <w:autoSpaceDN/>
        <w:bidi w:val="0"/>
        <w:adjustRightInd w:val="0"/>
        <w:snapToGrid w:val="0"/>
        <w:spacing w:beforeLines="0" w:afterLines="0" w:line="600" w:lineRule="exact"/>
        <w:ind w:firstLine="640" w:firstLineChars="200"/>
        <w:jc w:val="both"/>
        <w:textAlignment w:val="baseline"/>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安全生产许可证</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，编号</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（赣）FM安许证字〔2024〕M1902号；许可范围：钨、锡矿3.8万吨/年，平硐+盲斜井开拓，+232m、+190m、+150m等3个中段地下开采；有效期：2024年4月3日至2027年4月2日。</w:t>
      </w:r>
    </w:p>
    <w:p w14:paraId="1329E81F">
      <w:pPr>
        <w:pStyle w:val="9"/>
        <w:keepNext w:val="0"/>
        <w:keepLines w:val="0"/>
        <w:pageBreakBefore w:val="0"/>
        <w:widowControl w:val="0"/>
        <w:kinsoku/>
        <w:wordWrap/>
        <w:overflowPunct/>
        <w:topLinePunct w:val="0"/>
        <w:autoSpaceDE/>
        <w:autoSpaceDN/>
        <w:bidi w:val="0"/>
        <w:adjustRightInd w:val="0"/>
        <w:snapToGrid w:val="0"/>
        <w:spacing w:beforeLines="0" w:afterLines="0" w:line="600" w:lineRule="exact"/>
        <w:ind w:firstLine="640" w:firstLineChars="200"/>
        <w:jc w:val="both"/>
        <w:textAlignment w:val="baseline"/>
        <w:rPr>
          <w:rFonts w:hint="eastAsia" w:ascii="仿宋_GB2312" w:eastAsia="仿宋_GB2312"/>
          <w:sz w:val="32"/>
          <w:szCs w:val="32"/>
        </w:rPr>
      </w:pPr>
      <w:r>
        <w:rPr>
          <w:rFonts w:hint="eastAsia" w:ascii="仿宋_GB2312" w:eastAsia="仿宋_GB2312"/>
          <w:sz w:val="32"/>
          <w:szCs w:val="32"/>
          <w:lang w:eastAsia="zh-CN"/>
        </w:rPr>
        <w:t>矿山设有</w:t>
      </w:r>
      <w:r>
        <w:rPr>
          <w:rFonts w:hint="eastAsia" w:ascii="仿宋_GB2312" w:eastAsia="仿宋_GB2312"/>
          <w:sz w:val="32"/>
          <w:szCs w:val="32"/>
          <w:lang w:val="en-US" w:eastAsia="zh-CN"/>
        </w:rPr>
        <w:t>+312m、+272m、+232m、+190m、+150m等5个中段，事故发生时，仅在+232m中段布置4个掘进工作面，分别为：V6西沿脉掘进、V7西沿脉掘进、V8西沿脉掘进、</w:t>
      </w:r>
      <w:r>
        <w:rPr>
          <w:rFonts w:hint="eastAsia" w:ascii="仿宋_GB2312" w:hAnsi="仿宋_GB2312" w:eastAsia="仿宋_GB2312" w:cs="仿宋_GB2312"/>
          <w:sz w:val="32"/>
          <w:szCs w:val="32"/>
          <w:lang w:val="en-US" w:eastAsia="zh-CN"/>
        </w:rPr>
        <w:t>V8西沿脉巷南通风联络巷掘进工作面</w:t>
      </w:r>
      <w:r>
        <w:rPr>
          <w:rFonts w:hint="eastAsia" w:ascii="仿宋_GB2312" w:eastAsia="仿宋_GB2312"/>
          <w:sz w:val="32"/>
          <w:szCs w:val="32"/>
        </w:rPr>
        <w:t>。</w:t>
      </w:r>
    </w:p>
    <w:p w14:paraId="581D6431">
      <w:pPr>
        <w:pStyle w:val="9"/>
        <w:keepNext w:val="0"/>
        <w:keepLines w:val="0"/>
        <w:pageBreakBefore w:val="0"/>
        <w:widowControl w:val="0"/>
        <w:kinsoku/>
        <w:wordWrap/>
        <w:overflowPunct/>
        <w:topLinePunct w:val="0"/>
        <w:autoSpaceDE/>
        <w:autoSpaceDN/>
        <w:bidi w:val="0"/>
        <w:adjustRightInd w:val="0"/>
        <w:snapToGrid w:val="0"/>
        <w:spacing w:beforeLines="0" w:afterLines="0" w:line="600" w:lineRule="exact"/>
        <w:ind w:firstLine="640" w:firstLineChars="200"/>
        <w:jc w:val="both"/>
        <w:textAlignment w:val="baseline"/>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涉事耙矿机为</w:t>
      </w:r>
      <w:r>
        <w:rPr>
          <w:rFonts w:hint="eastAsia" w:ascii="仿宋_GB2312" w:eastAsia="仿宋_GB2312"/>
          <w:sz w:val="32"/>
          <w:szCs w:val="32"/>
          <w:lang w:eastAsia="zh-CN"/>
        </w:rPr>
        <w:t>胶轮自移式，型号</w:t>
      </w:r>
      <w:r>
        <w:rPr>
          <w:rFonts w:hint="eastAsia" w:ascii="仿宋_GB2312" w:eastAsia="仿宋_GB2312"/>
          <w:sz w:val="32"/>
          <w:szCs w:val="32"/>
          <w:lang w:val="en-US" w:eastAsia="zh-CN"/>
        </w:rPr>
        <w:t>ZWY-80</w:t>
      </w:r>
      <w:r>
        <w:rPr>
          <w:rFonts w:hint="eastAsia" w:ascii="仿宋_GB2312" w:hAnsi="仿宋_GB2312" w:eastAsia="仿宋_GB2312" w:cs="仿宋_GB2312"/>
          <w:sz w:val="32"/>
          <w:szCs w:val="32"/>
          <w:lang w:val="en-US" w:eastAsia="zh-CN"/>
        </w:rPr>
        <w:t>/</w:t>
      </w:r>
      <w:r>
        <w:rPr>
          <w:rFonts w:hint="eastAsia" w:ascii="仿宋_GB2312" w:eastAsia="仿宋_GB2312"/>
          <w:sz w:val="32"/>
          <w:szCs w:val="32"/>
          <w:lang w:val="en-US" w:eastAsia="zh-CN"/>
        </w:rPr>
        <w:t>18.5T 4Q-D重宽A型</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lang w:val="en-US" w:eastAsia="zh-CN"/>
        </w:rPr>
        <w:t>机宽1.7米（前两轮胎最宽间距）、机长约5米（机尾至机头曲臂处）,有矿用安全标志（编号为KEC110003），适用巷道断面规格为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2m</w:t>
      </w:r>
      <w:r>
        <w:rPr>
          <w:rFonts w:hint="default" w:ascii="Arial" w:hAnsi="Arial" w:eastAsia="仿宋_GB2312" w:cs="Arial"/>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2m以上</w:t>
      </w:r>
      <w:r>
        <w:rPr>
          <w:rFonts w:hint="eastAsia" w:ascii="仿宋_GB2312" w:hAnsi="仿宋_GB2312" w:eastAsia="仿宋_GB2312" w:cs="仿宋_GB2312"/>
          <w:sz w:val="32"/>
          <w:szCs w:val="32"/>
          <w:lang w:val="en-US" w:eastAsia="zh-CN"/>
        </w:rPr>
        <w:t>。</w:t>
      </w:r>
    </w:p>
    <w:p w14:paraId="6AEDE471">
      <w:pPr>
        <w:pStyle w:val="9"/>
        <w:keepNext w:val="0"/>
        <w:keepLines w:val="0"/>
        <w:pageBreakBefore w:val="0"/>
        <w:widowControl/>
        <w:kinsoku/>
        <w:wordWrap/>
        <w:overflowPunct/>
        <w:topLinePunct w:val="0"/>
        <w:autoSpaceDE/>
        <w:autoSpaceDN/>
        <w:bidi w:val="0"/>
        <w:adjustRightInd w:val="0"/>
        <w:snapToGrid w:val="0"/>
        <w:spacing w:beforeLines="0" w:afterLines="0" w:line="600" w:lineRule="exact"/>
        <w:ind w:left="34" w:right="40" w:firstLine="641"/>
        <w:jc w:val="both"/>
        <w:textAlignment w:val="baseline"/>
        <w:outlineLvl w:val="1"/>
        <w:rPr>
          <w:rFonts w:hint="eastAsia" w:ascii="楷体_GB2312" w:hAnsi="楷体_GB2312" w:eastAsia="楷体_GB2312" w:cs="楷体_GB2312"/>
          <w:b w:val="0"/>
          <w:bCs w:val="0"/>
          <w:snapToGrid w:val="0"/>
          <w:color w:val="000000" w:themeColor="text1"/>
          <w:spacing w:val="8"/>
          <w:kern w:val="0"/>
          <w:sz w:val="32"/>
          <w:szCs w:val="32"/>
          <w:lang w:val="en-US" w:eastAsia="zh-CN" w:bidi="ar-SA"/>
          <w14:textFill>
            <w14:solidFill>
              <w14:schemeClr w14:val="tx1"/>
            </w14:solidFill>
          </w14:textFill>
        </w:rPr>
      </w:pPr>
      <w:bookmarkStart w:id="3" w:name="_Toc1017385315_WPSOffice_Level2"/>
      <w:r>
        <w:rPr>
          <w:rFonts w:hint="eastAsia" w:ascii="楷体_GB2312" w:hAnsi="楷体_GB2312" w:eastAsia="楷体_GB2312" w:cs="楷体_GB2312"/>
          <w:b w:val="0"/>
          <w:bCs w:val="0"/>
          <w:snapToGrid w:val="0"/>
          <w:color w:val="000000" w:themeColor="text1"/>
          <w:spacing w:val="8"/>
          <w:kern w:val="0"/>
          <w:sz w:val="32"/>
          <w:szCs w:val="32"/>
          <w:lang w:val="en-US" w:eastAsia="zh-CN" w:bidi="ar-SA"/>
          <w14:textFill>
            <w14:solidFill>
              <w14:schemeClr w14:val="tx1"/>
            </w14:solidFill>
          </w14:textFill>
        </w:rPr>
        <w:t>（二）官山钨业安全生产管理情况</w:t>
      </w:r>
      <w:bookmarkEnd w:id="3"/>
    </w:p>
    <w:p w14:paraId="03A4E926">
      <w:pPr>
        <w:kinsoku/>
        <w:bidi w:val="0"/>
        <w:spacing w:beforeLines="0" w:afterLines="0" w:line="600" w:lineRule="exact"/>
        <w:ind w:firstLine="640" w:firstLineChars="200"/>
        <w:jc w:val="both"/>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en-US"/>
          <w14:textFill>
            <w14:solidFill>
              <w14:schemeClr w14:val="tx1"/>
            </w14:solidFill>
          </w14:textFill>
        </w:rPr>
        <w:t>官山钨业</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设总经理1名。202</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年</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月1日，贤丰控股集团有限公司任命谢志良为</w:t>
      </w:r>
      <w:r>
        <w:rPr>
          <w:rFonts w:hint="eastAsia" w:ascii="仿宋_GB2312" w:hAnsi="仿宋_GB2312" w:eastAsia="仿宋_GB2312" w:cs="仿宋_GB2312"/>
          <w:color w:val="000000" w:themeColor="text1"/>
          <w:kern w:val="0"/>
          <w:sz w:val="32"/>
          <w:szCs w:val="32"/>
          <w:lang w:eastAsia="en-US"/>
          <w14:textFill>
            <w14:solidFill>
              <w14:schemeClr w14:val="tx1"/>
            </w14:solidFill>
          </w14:textFill>
        </w:rPr>
        <w:t>官山钨业</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总经理，负责公司全面工作。</w:t>
      </w:r>
      <w:r>
        <w:rPr>
          <w:rFonts w:hint="eastAsia" w:ascii="仿宋_GB2312" w:hAnsi="仿宋_GB2312" w:eastAsia="仿宋_GB2312" w:cs="仿宋_GB2312"/>
          <w:color w:val="000000" w:themeColor="text1"/>
          <w:kern w:val="0"/>
          <w:sz w:val="32"/>
          <w:szCs w:val="32"/>
          <w:lang w:eastAsia="en-US"/>
          <w14:textFill>
            <w14:solidFill>
              <w14:schemeClr w14:val="tx1"/>
            </w14:solidFill>
          </w14:textFill>
        </w:rPr>
        <w:t>官山钨业</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下设矿山矿长、总工程师、生产副矿长、安全副矿长和机电副矿长，廖太祝为矿长，负责矿山安全生产工作</w:t>
      </w:r>
      <w:r>
        <w:rPr>
          <w:rFonts w:hint="eastAsia" w:ascii="仿宋_GB2312" w:hAnsi="仿宋_GB2312" w:eastAsia="仿宋_GB2312" w:cs="仿宋_GB2312"/>
          <w:color w:val="000000" w:themeColor="text1"/>
          <w:kern w:val="0"/>
          <w:sz w:val="32"/>
          <w:szCs w:val="32"/>
          <w:lang w:eastAsia="en-US"/>
          <w14:textFill>
            <w14:solidFill>
              <w14:schemeClr w14:val="tx1"/>
            </w14:solidFill>
          </w14:textFill>
        </w:rPr>
        <w:t>，持有效</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《安全生产</w:t>
      </w:r>
      <w:r>
        <w:rPr>
          <w:rFonts w:hint="eastAsia" w:ascii="仿宋_GB2312" w:hAnsi="仿宋_GB2312" w:eastAsia="仿宋_GB2312" w:cs="仿宋_GB2312"/>
          <w:color w:val="000000" w:themeColor="text1"/>
          <w:kern w:val="0"/>
          <w:sz w:val="32"/>
          <w:szCs w:val="32"/>
          <w:lang w:eastAsia="en-US"/>
          <w14:textFill>
            <w14:solidFill>
              <w14:schemeClr w14:val="tx1"/>
            </w14:solidFill>
          </w14:textFill>
        </w:rPr>
        <w:t>主要负责人</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能力考核合格证》；雒凌飞为总工程师，负责技术工作；蓝宗云为生产副矿长，负责生产技术工作；李小林为安全副矿长，负责安全管理工作；蓝立洪为机电副矿长，负责机电设备安全技术工作。</w:t>
      </w:r>
    </w:p>
    <w:p w14:paraId="172A5742">
      <w:pPr>
        <w:kinsoku/>
        <w:bidi w:val="0"/>
        <w:spacing w:beforeLines="0" w:afterLines="0" w:line="600" w:lineRule="exact"/>
        <w:ind w:firstLine="640" w:firstLineChars="200"/>
        <w:jc w:val="both"/>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en-US"/>
          <w14:textFill>
            <w14:solidFill>
              <w14:schemeClr w14:val="tx1"/>
            </w14:solidFill>
          </w14:textFill>
        </w:rPr>
        <w:t>官山钨业</w:t>
      </w:r>
      <w:r>
        <w:rPr>
          <w:rFonts w:hint="eastAsia" w:ascii="仿宋_GB2312" w:hAnsi="仿宋_GB2312" w:eastAsia="仿宋_GB2312" w:cs="仿宋_GB2312"/>
          <w:color w:val="000000" w:themeColor="text1"/>
          <w:kern w:val="0"/>
          <w:sz w:val="32"/>
          <w:szCs w:val="32"/>
          <w:lang w:val="en-US" w:eastAsia="en-US"/>
          <w14:textFill>
            <w14:solidFill>
              <w14:schemeClr w14:val="tx1"/>
            </w14:solidFill>
          </w14:textFill>
        </w:rPr>
        <w:t>成立</w:t>
      </w:r>
      <w:r>
        <w:rPr>
          <w:rFonts w:hint="eastAsia" w:ascii="仿宋_GB2312" w:hAnsi="仿宋_GB2312" w:eastAsia="仿宋_GB2312" w:cs="仿宋_GB2312"/>
          <w:color w:val="000000" w:themeColor="text1"/>
          <w:kern w:val="0"/>
          <w:sz w:val="32"/>
          <w:szCs w:val="32"/>
          <w:lang w:eastAsia="en-US"/>
          <w14:textFill>
            <w14:solidFill>
              <w14:schemeClr w14:val="tx1"/>
            </w14:solidFill>
          </w14:textFill>
        </w:rPr>
        <w:t>了</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安全生产领导小组，组长为谢志良，副组长为廖太祝，成员为李小林、蓝立洪等</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11人</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lang w:val="en-US" w:eastAsia="en-US"/>
          <w14:textFill>
            <w14:solidFill>
              <w14:schemeClr w14:val="tx1"/>
            </w14:solidFill>
          </w14:textFill>
        </w:rPr>
        <w:t>设立</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安全环保科，科长为谢建华，专职安全生产管理人员</w:t>
      </w:r>
      <w:r>
        <w:rPr>
          <w:rFonts w:hint="eastAsia" w:ascii="宋体" w:hAnsi="宋体" w:eastAsia="仿宋_GB2312" w:cs="仿宋_GB2312"/>
          <w:color w:val="0C0C0C"/>
          <w:kern w:val="0"/>
          <w:sz w:val="32"/>
          <w:szCs w:val="32"/>
          <w:lang w:val="en-US" w:eastAsia="zh-CN"/>
        </w:rPr>
        <w:t>3</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人</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，均持有效《安全生产知识和管理能力考核合格证》。设立技术科，科长为李国选，持有效《安全生产知识和管理能力考核合格证》。</w:t>
      </w:r>
    </w:p>
    <w:p w14:paraId="280D8B51">
      <w:pPr>
        <w:kinsoku/>
        <w:bidi w:val="0"/>
        <w:spacing w:beforeLines="0" w:afterLines="0" w:line="600" w:lineRule="exact"/>
        <w:ind w:firstLine="640" w:firstLineChars="200"/>
        <w:jc w:val="both"/>
        <w:rPr>
          <w:rFonts w:hint="eastAsia" w:ascii="仿宋_GB2312" w:hAnsi="仿宋_GB2312" w:eastAsia="仿宋_GB2312" w:cs="仿宋_GB2312"/>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lang w:val="en-US" w:eastAsia="zh-CN" w:bidi="ar-SA"/>
          <w14:textFill>
            <w14:solidFill>
              <w14:schemeClr w14:val="tx1"/>
            </w14:solidFill>
          </w14:textFill>
        </w:rPr>
        <w:t>官山钨业制定了安全生产责任制、隐患排查治理责任制、安全生产管理制度、</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耙矿机等</w:t>
      </w:r>
      <w:r>
        <w:rPr>
          <w:rFonts w:hint="eastAsia" w:ascii="仿宋_GB2312" w:hAnsi="仿宋_GB2312" w:eastAsia="仿宋_GB2312" w:cs="仿宋_GB2312"/>
          <w:i w:val="0"/>
          <w:iCs w:val="0"/>
          <w:caps w:val="0"/>
          <w:color w:val="000000" w:themeColor="text1"/>
          <w:spacing w:val="0"/>
          <w:kern w:val="0"/>
          <w:sz w:val="32"/>
          <w:szCs w:val="32"/>
          <w:shd w:val="clear"/>
          <w:lang w:val="en-US" w:eastAsia="zh-CN" w:bidi="ar-SA"/>
          <w14:textFill>
            <w14:solidFill>
              <w14:schemeClr w14:val="tx1"/>
            </w14:solidFill>
          </w14:textFill>
        </w:rPr>
        <w:t>工种（岗位）安全操作规程。</w:t>
      </w:r>
    </w:p>
    <w:p w14:paraId="412C4270">
      <w:pPr>
        <w:pStyle w:val="9"/>
        <w:keepNext w:val="0"/>
        <w:keepLines w:val="0"/>
        <w:pageBreakBefore w:val="0"/>
        <w:widowControl/>
        <w:kinsoku/>
        <w:wordWrap/>
        <w:overflowPunct/>
        <w:topLinePunct w:val="0"/>
        <w:autoSpaceDE/>
        <w:autoSpaceDN/>
        <w:bidi w:val="0"/>
        <w:adjustRightInd w:val="0"/>
        <w:snapToGrid w:val="0"/>
        <w:spacing w:beforeLines="0" w:afterLines="0" w:line="600" w:lineRule="exact"/>
        <w:ind w:left="34" w:right="40" w:firstLine="641"/>
        <w:jc w:val="both"/>
        <w:textAlignment w:val="baseline"/>
        <w:outlineLvl w:val="1"/>
        <w:rPr>
          <w:rFonts w:hint="default" w:ascii="楷体_GB2312" w:hAnsi="楷体_GB2312" w:eastAsia="楷体_GB2312" w:cs="楷体_GB2312"/>
          <w:b w:val="0"/>
          <w:bCs w:val="0"/>
          <w:snapToGrid w:val="0"/>
          <w:color w:val="000000" w:themeColor="text1"/>
          <w:spacing w:val="8"/>
          <w:kern w:val="0"/>
          <w:sz w:val="32"/>
          <w:szCs w:val="32"/>
          <w:lang w:val="en-US" w:eastAsia="zh-CN" w:bidi="ar-SA"/>
          <w14:textFill>
            <w14:solidFill>
              <w14:schemeClr w14:val="tx1"/>
            </w14:solidFill>
          </w14:textFill>
        </w:rPr>
      </w:pPr>
      <w:bookmarkStart w:id="4" w:name="_Toc1476336310_WPSOffice_Level2"/>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t>（三）</w:t>
      </w:r>
      <w:r>
        <w:rPr>
          <w:rFonts w:hint="eastAsia" w:ascii="楷体_GB2312" w:hAnsi="楷体_GB2312" w:eastAsia="楷体_GB2312" w:cs="楷体_GB2312"/>
          <w:b w:val="0"/>
          <w:bCs w:val="0"/>
          <w:snapToGrid w:val="0"/>
          <w:color w:val="000000" w:themeColor="text1"/>
          <w:spacing w:val="8"/>
          <w:kern w:val="0"/>
          <w:sz w:val="32"/>
          <w:szCs w:val="32"/>
          <w:lang w:val="en-US" w:eastAsia="zh-CN" w:bidi="ar-SA"/>
          <w14:textFill>
            <w14:solidFill>
              <w14:schemeClr w14:val="tx1"/>
            </w14:solidFill>
          </w14:textFill>
        </w:rPr>
        <w:t>相关部门及属地乡镇安全监管情况</w:t>
      </w:r>
      <w:bookmarkEnd w:id="4"/>
    </w:p>
    <w:p w14:paraId="3A59AEBE">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pacing w:before="0" w:beforeLines="0" w:beforeAutospacing="0" w:after="0" w:afterLines="0" w:afterAutospacing="0" w:line="600" w:lineRule="exact"/>
        <w:ind w:left="0" w:right="0"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宋体" w:hAnsi="宋体" w:eastAsia="仿宋_GB2312" w:cs="仿宋_GB2312"/>
          <w:b w:val="0"/>
          <w:bCs w:val="0"/>
          <w:color w:val="0C0C0C"/>
          <w:sz w:val="32"/>
          <w:szCs w:val="32"/>
          <w:lang w:val="en-US" w:eastAsia="zh-CN"/>
        </w:rPr>
        <w:t>1.全南县应急管理局。2024年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全南县矿山安全生产治本攻坚三年行动工作方案》，开展了矿山安全风险隐患大排查大整治、打非治违等工作；通过政府购买服务的方式聘请专家对辖区所有矿山进行了“专家会诊”，并多轮次对辖区矿山主要负责人开展了事故警示教育和约谈提醒。按照矿山企业复产复工要求，于2025年2月17日对官山钨业进行了复工复产前检查，并对检查发现的井下存在局扇设置不符合要求等8个问题隐患下达了《责令限期整改指令书》，2025年2月18日同意官山钨业复产。</w:t>
      </w:r>
    </w:p>
    <w:p w14:paraId="350EE1BE">
      <w:pPr>
        <w:keepNext w:val="0"/>
        <w:keepLines w:val="0"/>
        <w:widowControl/>
        <w:suppressLineNumbers w:val="0"/>
        <w:pBdr>
          <w:top w:val="none" w:color="auto" w:sz="0" w:space="0"/>
          <w:left w:val="none" w:color="auto" w:sz="0" w:space="0"/>
          <w:bottom w:val="none" w:color="auto" w:sz="0" w:space="0"/>
          <w:right w:val="none" w:color="auto" w:sz="0" w:space="0"/>
        </w:pBdr>
        <w:spacing w:before="0" w:beforeLines="0" w:beforeAutospacing="0" w:after="0" w:afterLines="0" w:afterAutospacing="0" w:line="600" w:lineRule="exact"/>
        <w:ind w:left="0" w:right="0" w:firstLine="643"/>
        <w:jc w:val="both"/>
        <w:rPr>
          <w:rFonts w:hint="default" w:ascii="宋体" w:hAnsi="宋体" w:eastAsia="仿宋_GB2312" w:cs="仿宋_GB2312"/>
          <w:color w:val="0C0C0C"/>
          <w:sz w:val="32"/>
          <w:szCs w:val="32"/>
          <w:lang w:val="en-US" w:eastAsia="zh-CN"/>
        </w:rPr>
      </w:pPr>
      <w:r>
        <w:rPr>
          <w:rFonts w:hint="eastAsia" w:ascii="宋体" w:hAnsi="宋体" w:eastAsia="仿宋_GB2312" w:cs="仿宋_GB2312"/>
          <w:b w:val="0"/>
          <w:bCs w:val="0"/>
          <w:color w:val="0C0C0C"/>
          <w:sz w:val="32"/>
          <w:szCs w:val="32"/>
          <w:lang w:val="en-US" w:eastAsia="zh-CN"/>
        </w:rPr>
        <w:t>2.全南县自然资源局。</w:t>
      </w:r>
      <w:r>
        <w:rPr>
          <w:rFonts w:hint="eastAsia" w:ascii="宋体" w:hAnsi="宋体" w:eastAsia="仿宋_GB2312" w:cs="仿宋_GB2312"/>
          <w:color w:val="0C0C0C"/>
          <w:sz w:val="32"/>
          <w:szCs w:val="32"/>
          <w:lang w:val="en-US" w:eastAsia="zh-CN"/>
        </w:rPr>
        <w:t>制定了《全南县自然资源局加强全县自然资源领域安全生产工作制度》和《关于进一步强化部门联合监管规范矿业秩序工作的通知》，强化安全生产源头监管。2024年3月联合环保、应急、林业等7个部门组成工作专班对官山钨业安全、环保、水保等等方面问题进行现场排查，提出18条整改措施，于2024年6月进行现场验收。对全县矿山开展每月不少于1次的日常巡查，督促矿山企业做好安全、环保、水保等方面工作。</w:t>
      </w:r>
    </w:p>
    <w:p w14:paraId="6E9FAC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Lines="0" w:afterLines="0" w:line="600" w:lineRule="exact"/>
        <w:ind w:firstLine="643" w:firstLineChars="0"/>
        <w:jc w:val="both"/>
        <w:textAlignment w:val="auto"/>
        <w:rPr>
          <w:rFonts w:hint="default" w:ascii="仿宋_GB2312" w:hAnsi="仿宋_GB2312" w:eastAsia="仿宋_GB2312" w:cs="仿宋_GB2312"/>
          <w:sz w:val="32"/>
          <w:szCs w:val="32"/>
          <w:lang w:val="en-US" w:eastAsia="zh-CN"/>
        </w:rPr>
      </w:pPr>
      <w:r>
        <w:rPr>
          <w:rFonts w:hint="eastAsia" w:ascii="宋体" w:hAnsi="宋体" w:eastAsia="仿宋_GB2312" w:cs="仿宋_GB2312"/>
          <w:b w:val="0"/>
          <w:bCs w:val="0"/>
          <w:color w:val="0C0C0C"/>
          <w:sz w:val="32"/>
          <w:szCs w:val="32"/>
          <w:lang w:val="en-US" w:eastAsia="zh-CN"/>
        </w:rPr>
        <w:t>3.陂头镇人民政府。</w:t>
      </w:r>
      <w:r>
        <w:rPr>
          <w:rFonts w:hint="eastAsia" w:ascii="仿宋_GB2312" w:hAnsi="仿宋_GB2312" w:eastAsia="仿宋_GB2312" w:cs="仿宋_GB2312"/>
          <w:sz w:val="32"/>
          <w:szCs w:val="32"/>
          <w:lang w:val="en-US" w:eastAsia="zh-CN"/>
        </w:rPr>
        <w:t>2024年1月26日，组织</w:t>
      </w:r>
      <w:r>
        <w:rPr>
          <w:rFonts w:hint="eastAsia" w:ascii="宋体" w:hAnsi="宋体" w:eastAsia="仿宋_GB2312" w:cs="仿宋_GB2312"/>
          <w:color w:val="0C0C0C"/>
          <w:sz w:val="32"/>
          <w:szCs w:val="32"/>
          <w:lang w:val="en-US" w:eastAsia="zh-CN"/>
        </w:rPr>
        <w:t>召开安全生产暨消防隐患排查集中约谈会，约谈官山钨业等辖区企业主要负责人，督促企业落实好安全生产主体责任。2024年以来，镇政府主要领导及分管领导先后7次到官山钨矿检查安全生产工作，企业复工复产后又3次到官山钨矿开展安全生产检查，发现企业存在没有规范性的应急预案、未制定演练和教育培训计划等问题，并督促企业整改到位。</w:t>
      </w:r>
    </w:p>
    <w:p w14:paraId="7C2B8245">
      <w:pPr>
        <w:pStyle w:val="9"/>
        <w:keepNext w:val="0"/>
        <w:keepLines w:val="0"/>
        <w:pageBreakBefore w:val="0"/>
        <w:widowControl/>
        <w:kinsoku/>
        <w:wordWrap/>
        <w:overflowPunct/>
        <w:topLinePunct w:val="0"/>
        <w:autoSpaceDE/>
        <w:autoSpaceDN/>
        <w:bidi w:val="0"/>
        <w:adjustRightInd w:val="0"/>
        <w:snapToGrid w:val="0"/>
        <w:spacing w:beforeLines="0" w:afterLines="0" w:line="600" w:lineRule="exact"/>
        <w:ind w:firstLine="640" w:firstLineChars="200"/>
        <w:jc w:val="both"/>
        <w:textAlignment w:val="baseline"/>
        <w:outlineLvl w:val="1"/>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pPr>
      <w:bookmarkStart w:id="5" w:name="_Toc2020450899_WPSOffice_Level2"/>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t>（四）事故发生经过</w:t>
      </w:r>
      <w:bookmarkEnd w:id="5"/>
    </w:p>
    <w:p w14:paraId="741F6500">
      <w:pPr>
        <w:keepNext w:val="0"/>
        <w:keepLines w:val="0"/>
        <w:pageBreakBefore w:val="0"/>
        <w:numPr>
          <w:ilvl w:val="0"/>
          <w:numId w:val="0"/>
        </w:numPr>
        <w:kinsoku/>
        <w:wordWrap/>
        <w:overflowPunct/>
        <w:topLinePunct w:val="0"/>
        <w:autoSpaceDE/>
        <w:autoSpaceDN/>
        <w:bidi w:val="0"/>
        <w:spacing w:beforeLines="0" w:afterLines="0" w:line="600" w:lineRule="exact"/>
        <w:ind w:firstLine="640" w:firstLineChars="200"/>
        <w:jc w:val="both"/>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2025年2月26日7时20分许，</w:t>
      </w:r>
      <w:r>
        <w:rPr>
          <w:rFonts w:hint="eastAsia" w:ascii="仿宋_GB2312" w:hAnsi="仿宋_GB2312" w:eastAsia="仿宋_GB2312" w:cs="仿宋_GB2312"/>
          <w:b w:val="0"/>
          <w:bCs w:val="0"/>
          <w:color w:val="000000" w:themeColor="text1"/>
          <w:spacing w:val="8"/>
          <w:sz w:val="32"/>
          <w:szCs w:val="32"/>
          <w:lang w:val="en-US" w:eastAsia="zh-CN"/>
          <w14:textFill>
            <w14:solidFill>
              <w14:schemeClr w14:val="tx1"/>
            </w14:solidFill>
          </w14:textFill>
        </w:rPr>
        <w:t>官山钨业</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带班副矿长蓝立洪、安全副矿长李小林、安全员（兼班组长）李日华召开早班会。7时30分早班会结束，蓝立洪、李小林、李日华带领当班耙矿机司机刘传钦等14名员工下矿井作业。</w:t>
      </w:r>
    </w:p>
    <w:p w14:paraId="7A287B8E">
      <w:pPr>
        <w:keepNext w:val="0"/>
        <w:keepLines w:val="0"/>
        <w:pageBreakBefore w:val="0"/>
        <w:numPr>
          <w:ilvl w:val="0"/>
          <w:numId w:val="0"/>
        </w:numPr>
        <w:kinsoku/>
        <w:wordWrap/>
        <w:overflowPunct/>
        <w:topLinePunct w:val="0"/>
        <w:autoSpaceDE/>
        <w:autoSpaceDN/>
        <w:bidi w:val="0"/>
        <w:spacing w:beforeLines="0" w:afterLines="0" w:line="600" w:lineRule="exact"/>
        <w:ind w:firstLine="640" w:firstLineChars="200"/>
        <w:jc w:val="both"/>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9时许，刘传钦开始在+232m中段</w:t>
      </w:r>
      <w:r>
        <w:rPr>
          <w:rFonts w:hint="eastAsia" w:ascii="仿宋_GB2312" w:hAnsi="仿宋_GB2312" w:eastAsia="仿宋_GB2312" w:cs="仿宋_GB2312"/>
          <w:sz w:val="32"/>
          <w:szCs w:val="32"/>
          <w:lang w:val="en-US" w:eastAsia="zh-CN"/>
        </w:rPr>
        <w:t>V8西沿脉巷</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开始清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碴</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作业，15时10分许，通风联络巷清渣完成，李日华指挥刘传钦</w:t>
      </w:r>
      <w:r>
        <w:rPr>
          <w:rFonts w:hint="eastAsia" w:ascii="仿宋_GB2312" w:eastAsia="仿宋_GB2312"/>
          <w:sz w:val="32"/>
          <w:szCs w:val="32"/>
          <w:lang w:val="en-US" w:eastAsia="zh-CN"/>
        </w:rPr>
        <w:t>退出作业现场准备铺设轨道</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，刘传钦在退出耙矿机过程中发生操作失误，导致刘传钦背部被巷道转弯处凸出岩体挤压，耙矿机随后过载停机。李日华爬上耙矿机察看并询问刘传钦情况，发现刘传钦无法回应后立即组织员工进行施救。</w:t>
      </w:r>
    </w:p>
    <w:p w14:paraId="6A68BF05">
      <w:pPr>
        <w:pStyle w:val="7"/>
        <w:bidi w:val="0"/>
        <w:spacing w:line="600" w:lineRule="exact"/>
        <w:rPr>
          <w:rFonts w:hint="eastAsia" w:ascii="Times New Roman" w:hAnsi="Times New Roman"/>
          <w:color w:val="auto"/>
          <w:kern w:val="0"/>
        </w:rPr>
      </w:pPr>
      <w:bookmarkStart w:id="6" w:name="_Toc70913467_WPSOffice_Level2"/>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t>（</w:t>
      </w:r>
      <w:r>
        <w:rPr>
          <w:rFonts w:hint="eastAsia" w:ascii="楷体_GB2312" w:hAnsi="楷体_GB2312" w:cs="楷体_GB2312"/>
          <w:b w:val="0"/>
          <w:bCs w:val="0"/>
          <w:snapToGrid w:val="0"/>
          <w:color w:val="000000" w:themeColor="text1"/>
          <w:kern w:val="0"/>
          <w:sz w:val="32"/>
          <w:szCs w:val="32"/>
          <w:lang w:val="en-US" w:eastAsia="zh-CN" w:bidi="ar-SA"/>
          <w14:textFill>
            <w14:solidFill>
              <w14:schemeClr w14:val="tx1"/>
            </w14:solidFill>
          </w14:textFill>
        </w:rPr>
        <w:t>五</w:t>
      </w:r>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t>）</w:t>
      </w:r>
      <w:r>
        <w:rPr>
          <w:rFonts w:hint="eastAsia" w:ascii="楷体_GB2312" w:hAnsi="楷体_GB2312" w:cs="楷体_GB2312"/>
          <w:b w:val="0"/>
          <w:snapToGrid w:val="0"/>
          <w:color w:val="000000" w:themeColor="text1"/>
          <w:kern w:val="0"/>
          <w:szCs w:val="32"/>
          <w:lang w:val="en-US" w:eastAsia="zh-CN" w:bidi="ar-SA"/>
          <w14:textFill>
            <w14:solidFill>
              <w14:schemeClr w14:val="tx1"/>
            </w14:solidFill>
          </w14:textFill>
        </w:rPr>
        <w:t>事故现场勘查情况</w:t>
      </w:r>
      <w:bookmarkEnd w:id="6"/>
    </w:p>
    <w:p w14:paraId="796C4E7D">
      <w:pPr>
        <w:kinsoku/>
        <w:adjustRightInd/>
        <w:snapToGrid/>
        <w:spacing w:beforeLines="0" w:afterLines="0" w:line="600" w:lineRule="exact"/>
        <w:ind w:firstLine="640" w:firstLineChars="200"/>
        <w:jc w:val="both"/>
        <w:textAlignment w:val="auto"/>
        <w:rPr>
          <w:rFonts w:hint="eastAsia" w:ascii="仿宋_GB2312" w:hAnsi="宋体" w:eastAsia="仿宋_GB2312" w:cs="宋体"/>
          <w:sz w:val="32"/>
          <w:szCs w:val="32"/>
          <w:lang w:val="en-US" w:eastAsia="zh-CN"/>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经现场勘察，事故发生地点为</w:t>
      </w:r>
      <w:r>
        <w:rPr>
          <w:rFonts w:hint="eastAsia" w:ascii="仿宋_GB2312" w:eastAsia="仿宋_GB2312"/>
          <w:sz w:val="32"/>
          <w:szCs w:val="32"/>
          <w:lang w:eastAsia="zh-CN"/>
        </w:rPr>
        <w:t>官山钨业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232m中段V8西沿脉巷与南通风联络巷开门处，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联络巷已掘进约5m，已基本完成矿碴清理，准备铺设联络巷轨道。V8西沿脉及联络巷巷道断面设计为2.2m</w:t>
      </w:r>
      <w:r>
        <w:rPr>
          <w:rFonts w:hint="default" w:ascii="Arial" w:hAnsi="Arial" w:eastAsia="仿宋_GB2312" w:cs="Arial"/>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2.2m，现状断面与设计断面相符，为裸巷支护。巷道转弯处断面为2.96m（宽）</w:t>
      </w:r>
      <w:r>
        <w:rPr>
          <w:rFonts w:hint="default" w:ascii="Arial" w:hAnsi="Arial" w:eastAsia="仿宋_GB2312" w:cs="Arial"/>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2.27m（高），现场有一耙矿机，机头朝西，曲臂呈直立顶在巷道底板，外型尺寸5.6m（长）</w:t>
      </w:r>
      <w:r>
        <w:rPr>
          <w:rFonts w:hint="default" w:ascii="Arial" w:hAnsi="Arial" w:eastAsia="仿宋_GB2312" w:cs="Arial"/>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1.7m（宽）</w:t>
      </w:r>
      <w:r>
        <w:rPr>
          <w:rFonts w:hint="default" w:ascii="Arial" w:hAnsi="Arial" w:eastAsia="仿宋_GB2312" w:cs="Arial"/>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1.69m（高），耙矿机距离右帮0.9m、左帮0.36m。耙矿机驾驶坐距离巷道左帮凸出岩体0.3m，凸出岩帮厚度0.22m，凸出岩帮距离底板高1.7m，巷道内有几根变型轨道、枕木、木板等。</w:t>
      </w:r>
    </w:p>
    <w:p w14:paraId="496A8415">
      <w:pPr>
        <w:pStyle w:val="9"/>
        <w:keepNext w:val="0"/>
        <w:keepLines w:val="0"/>
        <w:pageBreakBefore w:val="0"/>
        <w:widowControl/>
        <w:numPr>
          <w:ilvl w:val="0"/>
          <w:numId w:val="0"/>
        </w:numPr>
        <w:kinsoku/>
        <w:wordWrap/>
        <w:overflowPunct/>
        <w:topLinePunct w:val="0"/>
        <w:autoSpaceDE/>
        <w:autoSpaceDN/>
        <w:bidi w:val="0"/>
        <w:adjustRightInd w:val="0"/>
        <w:snapToGrid w:val="0"/>
        <w:spacing w:beforeLines="0" w:afterLines="0" w:line="600" w:lineRule="exact"/>
        <w:jc w:val="center"/>
        <w:textAlignment w:val="baseline"/>
        <w:outlineLvl w:val="1"/>
        <w:rPr>
          <w:rFonts w:hint="default" w:eastAsia="宋体"/>
          <w:b/>
          <w:bCs/>
          <w:lang w:val="en-US" w:eastAsia="zh-CN"/>
        </w:rPr>
      </w:pPr>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drawing>
          <wp:anchor distT="0" distB="0" distL="114300" distR="114300" simplePos="0" relativeHeight="251660288" behindDoc="0" locked="0" layoutInCell="1" allowOverlap="1">
            <wp:simplePos x="0" y="0"/>
            <wp:positionH relativeFrom="column">
              <wp:posOffset>-193675</wp:posOffset>
            </wp:positionH>
            <wp:positionV relativeFrom="paragraph">
              <wp:posOffset>253365</wp:posOffset>
            </wp:positionV>
            <wp:extent cx="5283200" cy="3962400"/>
            <wp:effectExtent l="0" t="0" r="12700" b="0"/>
            <wp:wrapTopAndBottom/>
            <wp:docPr id="5" name="图片 5" descr="现场勘察照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现场勘察照片2"/>
                    <pic:cNvPicPr>
                      <a:picLocks noChangeAspect="1"/>
                    </pic:cNvPicPr>
                  </pic:nvPicPr>
                  <pic:blipFill>
                    <a:blip r:embed="rId7"/>
                    <a:stretch>
                      <a:fillRect/>
                    </a:stretch>
                  </pic:blipFill>
                  <pic:spPr>
                    <a:xfrm>
                      <a:off x="0" y="0"/>
                      <a:ext cx="5283200" cy="3962400"/>
                    </a:xfrm>
                    <a:prstGeom prst="rect">
                      <a:avLst/>
                    </a:prstGeom>
                  </pic:spPr>
                </pic:pic>
              </a:graphicData>
            </a:graphic>
          </wp:anchor>
        </w:drawing>
      </w:r>
      <w:r>
        <w:rPr>
          <w:rFonts w:hint="eastAsia" w:ascii="楷体_GB2312" w:hAnsi="楷体_GB2312" w:eastAsia="楷体_GB2312" w:cs="楷体_GB2312"/>
          <w:b w:val="0"/>
          <w:bCs w:val="0"/>
          <w:color w:val="000000" w:themeColor="text1"/>
          <w:sz w:val="32"/>
          <w:szCs w:val="32"/>
          <w:lang w:eastAsia="zh-CN"/>
          <w14:textFill>
            <w14:solidFill>
              <w14:schemeClr w14:val="tx1"/>
            </w14:solidFill>
          </w14:textFill>
        </w:rPr>
        <w:t>现场勘察照片</w:t>
      </w:r>
    </w:p>
    <w:p w14:paraId="17600320">
      <w:pPr>
        <w:pStyle w:val="9"/>
        <w:keepNext w:val="0"/>
        <w:keepLines w:val="0"/>
        <w:pageBreakBefore w:val="0"/>
        <w:widowControl/>
        <w:numPr>
          <w:ilvl w:val="0"/>
          <w:numId w:val="0"/>
        </w:numPr>
        <w:kinsoku/>
        <w:wordWrap/>
        <w:overflowPunct/>
        <w:topLinePunct w:val="0"/>
        <w:autoSpaceDE/>
        <w:autoSpaceDN/>
        <w:bidi w:val="0"/>
        <w:adjustRightInd w:val="0"/>
        <w:snapToGrid w:val="0"/>
        <w:spacing w:beforeLines="0" w:afterLines="0" w:line="240" w:lineRule="auto"/>
        <w:ind w:firstLine="0" w:firstLineChars="0"/>
        <w:jc w:val="both"/>
        <w:textAlignment w:val="baseline"/>
        <w:outlineLvl w:val="1"/>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pPr>
    </w:p>
    <w:p w14:paraId="2EEFDC43">
      <w:pPr>
        <w:pStyle w:val="9"/>
        <w:keepNext w:val="0"/>
        <w:keepLines w:val="0"/>
        <w:pageBreakBefore w:val="0"/>
        <w:widowControl/>
        <w:numPr>
          <w:ilvl w:val="0"/>
          <w:numId w:val="0"/>
        </w:numPr>
        <w:kinsoku/>
        <w:wordWrap/>
        <w:overflowPunct/>
        <w:topLinePunct w:val="0"/>
        <w:autoSpaceDE/>
        <w:autoSpaceDN/>
        <w:bidi w:val="0"/>
        <w:adjustRightInd w:val="0"/>
        <w:snapToGrid w:val="0"/>
        <w:spacing w:beforeLines="0" w:afterLines="0" w:line="240" w:lineRule="auto"/>
        <w:ind w:firstLine="0" w:firstLineChars="0"/>
        <w:jc w:val="both"/>
        <w:textAlignment w:val="baseline"/>
        <w:outlineLvl w:val="1"/>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pPr>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drawing>
          <wp:inline distT="0" distB="0" distL="114300" distR="114300">
            <wp:extent cx="5291455" cy="2802890"/>
            <wp:effectExtent l="0" t="0" r="4445" b="16510"/>
            <wp:docPr id="6" name="图片 6" descr="webwxgetmsg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ebwxgetmsgimg"/>
                    <pic:cNvPicPr>
                      <a:picLocks noChangeAspect="1"/>
                    </pic:cNvPicPr>
                  </pic:nvPicPr>
                  <pic:blipFill>
                    <a:blip r:embed="rId8"/>
                    <a:stretch>
                      <a:fillRect/>
                    </a:stretch>
                  </pic:blipFill>
                  <pic:spPr>
                    <a:xfrm>
                      <a:off x="0" y="0"/>
                      <a:ext cx="5291455" cy="2802890"/>
                    </a:xfrm>
                    <a:prstGeom prst="rect">
                      <a:avLst/>
                    </a:prstGeom>
                  </pic:spPr>
                </pic:pic>
              </a:graphicData>
            </a:graphic>
          </wp:inline>
        </w:drawing>
      </w:r>
    </w:p>
    <w:p w14:paraId="3A2D89D9">
      <w:pPr>
        <w:pStyle w:val="9"/>
        <w:keepNext w:val="0"/>
        <w:keepLines w:val="0"/>
        <w:pageBreakBefore w:val="0"/>
        <w:widowControl/>
        <w:numPr>
          <w:ilvl w:val="0"/>
          <w:numId w:val="0"/>
        </w:numPr>
        <w:kinsoku/>
        <w:wordWrap/>
        <w:overflowPunct/>
        <w:topLinePunct w:val="0"/>
        <w:autoSpaceDE/>
        <w:autoSpaceDN/>
        <w:bidi w:val="0"/>
        <w:adjustRightInd w:val="0"/>
        <w:snapToGrid w:val="0"/>
        <w:spacing w:beforeLines="0" w:afterLines="0" w:line="600" w:lineRule="exact"/>
        <w:ind w:firstLine="3200" w:firstLineChars="1000"/>
        <w:jc w:val="both"/>
        <w:textAlignment w:val="baseline"/>
        <w:outlineLvl w:val="1"/>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pPr>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t>现场勘察示意图</w:t>
      </w:r>
    </w:p>
    <w:p w14:paraId="40CC137D">
      <w:pPr>
        <w:pStyle w:val="9"/>
        <w:keepNext w:val="0"/>
        <w:keepLines w:val="0"/>
        <w:pageBreakBefore w:val="0"/>
        <w:widowControl/>
        <w:numPr>
          <w:ilvl w:val="0"/>
          <w:numId w:val="0"/>
        </w:numPr>
        <w:kinsoku/>
        <w:wordWrap/>
        <w:overflowPunct/>
        <w:topLinePunct w:val="0"/>
        <w:autoSpaceDE/>
        <w:autoSpaceDN/>
        <w:bidi w:val="0"/>
        <w:adjustRightInd w:val="0"/>
        <w:snapToGrid w:val="0"/>
        <w:spacing w:beforeLines="0" w:afterLines="0" w:line="560" w:lineRule="exact"/>
        <w:ind w:firstLine="640" w:firstLineChars="200"/>
        <w:jc w:val="both"/>
        <w:textAlignment w:val="baseline"/>
        <w:outlineLvl w:val="1"/>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pPr>
      <w:bookmarkStart w:id="7" w:name="_Toc901375335_WPSOffice_Level2"/>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t>（六）人员伤亡和直接经济损失</w:t>
      </w:r>
      <w:bookmarkEnd w:id="7"/>
    </w:p>
    <w:p w14:paraId="29443F74">
      <w:pPr>
        <w:keepNext w:val="0"/>
        <w:keepLines w:val="0"/>
        <w:pageBreakBefore w:val="0"/>
        <w:widowControl/>
        <w:numPr>
          <w:ilvl w:val="0"/>
          <w:numId w:val="0"/>
        </w:numPr>
        <w:kinsoku/>
        <w:wordWrap/>
        <w:overflowPunct/>
        <w:topLinePunct w:val="0"/>
        <w:autoSpaceDE/>
        <w:autoSpaceDN/>
        <w:bidi w:val="0"/>
        <w:adjustRightInd w:val="0"/>
        <w:snapToGrid w:val="0"/>
        <w:spacing w:beforeLines="0" w:afterLines="0" w:line="560" w:lineRule="exact"/>
        <w:ind w:firstLine="640" w:firstLineChars="200"/>
        <w:jc w:val="both"/>
        <w:textAlignment w:val="baseline"/>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事故共造成1人死亡。死者</w:t>
      </w:r>
      <w:r>
        <w:rPr>
          <w:rFonts w:hint="eastAsia" w:ascii="宋体" w:hAnsi="宋体" w:eastAsia="仿宋_GB2312" w:cs="仿宋_GB2312"/>
          <w:sz w:val="32"/>
          <w:szCs w:val="32"/>
          <w:lang w:val="en-US" w:eastAsia="zh-CN"/>
        </w:rPr>
        <w:t>刘传钦</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,耙矿机司机，男，汉族，住址：</w:t>
      </w:r>
      <w:r>
        <w:rPr>
          <w:rFonts w:hint="eastAsia" w:ascii="宋体" w:hAnsi="宋体" w:eastAsia="仿宋_GB2312" w:cs="仿宋_GB2312"/>
          <w:sz w:val="32"/>
          <w:szCs w:val="32"/>
          <w:lang w:val="en-US" w:eastAsia="zh-CN"/>
        </w:rPr>
        <w:t>崇义县聂都乡***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，2025年2月12日来矿工作。</w:t>
      </w:r>
    </w:p>
    <w:p w14:paraId="192B0EE1">
      <w:pPr>
        <w:keepNext w:val="0"/>
        <w:keepLines w:val="0"/>
        <w:pageBreakBefore w:val="0"/>
        <w:widowControl/>
        <w:numPr>
          <w:ilvl w:val="0"/>
          <w:numId w:val="0"/>
        </w:numPr>
        <w:kinsoku/>
        <w:wordWrap/>
        <w:overflowPunct/>
        <w:topLinePunct w:val="0"/>
        <w:autoSpaceDE/>
        <w:autoSpaceDN/>
        <w:bidi w:val="0"/>
        <w:adjustRightInd w:val="0"/>
        <w:snapToGrid w:val="0"/>
        <w:spacing w:beforeLines="0" w:afterLines="0" w:line="560" w:lineRule="exact"/>
        <w:ind w:firstLine="640" w:firstLineChars="200"/>
        <w:jc w:val="both"/>
        <w:textAlignment w:val="baseline"/>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依据《企业职工伤亡事故经济损失统计标准》（GB6721-1986）有关规定，核定事故造成直接经济损失191万元。</w:t>
      </w:r>
    </w:p>
    <w:p w14:paraId="070F3419">
      <w:pPr>
        <w:pStyle w:val="9"/>
        <w:keepNext w:val="0"/>
        <w:keepLines w:val="0"/>
        <w:pageBreakBefore w:val="0"/>
        <w:widowControl/>
        <w:kinsoku/>
        <w:wordWrap/>
        <w:overflowPunct/>
        <w:topLinePunct w:val="0"/>
        <w:autoSpaceDE/>
        <w:autoSpaceDN/>
        <w:bidi w:val="0"/>
        <w:adjustRightInd w:val="0"/>
        <w:snapToGrid w:val="0"/>
        <w:spacing w:beforeLines="0" w:afterLines="0" w:line="560" w:lineRule="exact"/>
        <w:ind w:left="16" w:firstLine="660"/>
        <w:jc w:val="both"/>
        <w:textAlignment w:val="baseline"/>
        <w:outlineLvl w:val="0"/>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pPr>
      <w:bookmarkStart w:id="8" w:name="_Toc690184912_WPSOffice_Level1"/>
      <w:bookmarkStart w:id="9" w:name="_Toc5700"/>
      <w:bookmarkStart w:id="10" w:name="_Toc1039361199_WPSOffice_Level1"/>
      <w:bookmarkStart w:id="11" w:name="_Toc10581"/>
      <w:r>
        <w:rPr>
          <w:rFonts w:hint="eastAsia" w:ascii="黑体" w:hAnsi="黑体" w:eastAsia="黑体" w:cs="黑体"/>
          <w:b w:val="0"/>
          <w:bCs w:val="0"/>
          <w:snapToGrid w:val="0"/>
          <w:color w:val="000000" w:themeColor="text1"/>
          <w:kern w:val="0"/>
          <w:sz w:val="32"/>
          <w:szCs w:val="32"/>
          <w:lang w:val="en-US" w:eastAsia="en-US" w:bidi="ar-SA"/>
          <w14:textFill>
            <w14:solidFill>
              <w14:schemeClr w14:val="tx1"/>
            </w14:solidFill>
          </w14:textFill>
        </w:rPr>
        <w:t>二、事故应急处置</w:t>
      </w:r>
      <w:r>
        <w:rPr>
          <w:rFonts w:hint="eastAsia" w:ascii="黑体" w:hAnsi="黑体" w:eastAsia="黑体" w:cs="黑体"/>
          <w:b w:val="0"/>
          <w:bCs w:val="0"/>
          <w:snapToGrid w:val="0"/>
          <w:color w:val="000000" w:themeColor="text1"/>
          <w:kern w:val="0"/>
          <w:sz w:val="32"/>
          <w:szCs w:val="32"/>
          <w:lang w:val="en-US" w:eastAsia="zh-CN" w:bidi="ar-SA"/>
          <w14:textFill>
            <w14:solidFill>
              <w14:schemeClr w14:val="tx1"/>
            </w14:solidFill>
          </w14:textFill>
        </w:rPr>
        <w:t>及评估</w:t>
      </w:r>
      <w:bookmarkEnd w:id="8"/>
      <w:bookmarkEnd w:id="9"/>
      <w:bookmarkEnd w:id="10"/>
      <w:bookmarkEnd w:id="11"/>
    </w:p>
    <w:p w14:paraId="2578D4EC">
      <w:pPr>
        <w:keepNext w:val="0"/>
        <w:keepLines w:val="0"/>
        <w:pageBreakBefore w:val="0"/>
        <w:widowControl/>
        <w:numPr>
          <w:ilvl w:val="-1"/>
          <w:numId w:val="0"/>
        </w:numPr>
        <w:kinsoku/>
        <w:wordWrap/>
        <w:overflowPunct/>
        <w:topLinePunct w:val="0"/>
        <w:autoSpaceDE/>
        <w:autoSpaceDN/>
        <w:bidi w:val="0"/>
        <w:adjustRightInd w:val="0"/>
        <w:snapToGrid w:val="0"/>
        <w:spacing w:beforeLines="0" w:afterLines="0" w:line="560" w:lineRule="exact"/>
        <w:ind w:left="532" w:firstLine="0" w:firstLineChars="0"/>
        <w:jc w:val="both"/>
        <w:textAlignment w:val="baseline"/>
        <w:outlineLvl w:val="1"/>
        <w:rPr>
          <w:rFonts w:hint="eastAsia" w:ascii="楷体_GB2312" w:hAnsi="楷体_GB2312" w:eastAsia="楷体_GB2312" w:cs="楷体_GB2312"/>
          <w:b w:val="0"/>
          <w:bCs w:val="0"/>
          <w:snapToGrid w:val="0"/>
          <w:color w:val="000000" w:themeColor="text1"/>
          <w:kern w:val="0"/>
          <w:sz w:val="32"/>
          <w:szCs w:val="32"/>
          <w:lang w:val="en-US" w:eastAsia="zh-CN"/>
          <w14:textFill>
            <w14:solidFill>
              <w14:schemeClr w14:val="tx1"/>
            </w14:solidFill>
          </w14:textFill>
        </w:rPr>
      </w:pPr>
      <w:bookmarkStart w:id="12" w:name="_Toc333072039_WPSOffice_Level2"/>
      <w:bookmarkStart w:id="13" w:name="_Toc26087"/>
      <w:bookmarkStart w:id="14" w:name="_Toc1157585998_WPSOffice_Level2"/>
      <w:bookmarkStart w:id="15" w:name="_Toc16323"/>
      <w:r>
        <w:rPr>
          <w:rFonts w:hint="eastAsia" w:ascii="楷体_GB2312" w:hAnsi="楷体_GB2312" w:eastAsia="楷体_GB2312" w:cs="楷体_GB2312"/>
          <w:b w:val="0"/>
          <w:bCs w:val="0"/>
          <w:snapToGrid w:val="0"/>
          <w:color w:val="000000" w:themeColor="text1"/>
          <w:kern w:val="0"/>
          <w:sz w:val="32"/>
          <w:szCs w:val="32"/>
          <w:lang w:val="en-US" w:eastAsia="zh-CN"/>
          <w14:textFill>
            <w14:solidFill>
              <w14:schemeClr w14:val="tx1"/>
            </w14:solidFill>
          </w14:textFill>
        </w:rPr>
        <w:t>（一）事故信息接报及</w:t>
      </w:r>
      <w:bookmarkEnd w:id="12"/>
      <w:r>
        <w:rPr>
          <w:rFonts w:hint="eastAsia" w:ascii="楷体_GB2312" w:hAnsi="楷体_GB2312" w:eastAsia="楷体_GB2312" w:cs="楷体_GB2312"/>
          <w:b w:val="0"/>
          <w:bCs w:val="0"/>
          <w:snapToGrid w:val="0"/>
          <w:color w:val="000000" w:themeColor="text1"/>
          <w:kern w:val="0"/>
          <w:sz w:val="32"/>
          <w:szCs w:val="32"/>
          <w:lang w:val="en-US" w:eastAsia="zh-CN"/>
          <w14:textFill>
            <w14:solidFill>
              <w14:schemeClr w14:val="tx1"/>
            </w14:solidFill>
          </w14:textFill>
        </w:rPr>
        <w:t>响应情况</w:t>
      </w:r>
      <w:bookmarkEnd w:id="13"/>
      <w:bookmarkEnd w:id="14"/>
      <w:bookmarkEnd w:id="15"/>
      <w:bookmarkStart w:id="71" w:name="_GoBack"/>
      <w:bookmarkEnd w:id="71"/>
    </w:p>
    <w:p w14:paraId="129BBCE0">
      <w:pPr>
        <w:keepNext w:val="0"/>
        <w:keepLines w:val="0"/>
        <w:pageBreakBefore w:val="0"/>
        <w:widowControl/>
        <w:kinsoku/>
        <w:wordWrap/>
        <w:overflowPunct/>
        <w:topLinePunct w:val="0"/>
        <w:autoSpaceDE/>
        <w:autoSpaceDN/>
        <w:bidi w:val="0"/>
        <w:adjustRightInd w:val="0"/>
        <w:snapToGrid w:val="0"/>
        <w:spacing w:beforeLines="0" w:afterLines="0" w:line="560" w:lineRule="exact"/>
        <w:ind w:left="0" w:firstLine="628" w:firstLineChars="200"/>
        <w:jc w:val="both"/>
        <w:textAlignment w:val="baseline"/>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b w:val="0"/>
          <w:bCs w:val="0"/>
          <w:snapToGrid w:val="0"/>
          <w:color w:val="000000" w:themeColor="text1"/>
          <w:spacing w:val="-3"/>
          <w:kern w:val="0"/>
          <w:sz w:val="32"/>
          <w:szCs w:val="32"/>
          <w:lang w:val="en-US" w:eastAsia="zh-CN" w:bidi="ar-SA"/>
          <w14:textFill>
            <w14:solidFill>
              <w14:schemeClr w14:val="tx1"/>
            </w14:solidFill>
          </w14:textFill>
        </w:rPr>
        <w:t>2025年2月26日</w:t>
      </w:r>
      <w:bookmarkStart w:id="16" w:name="_Toc2013204701_WPSOffice_Level2"/>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16</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时4</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分，官山钨业总经理</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谢志良</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向全南县应急管理局报告事故情况，当天</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16</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时</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52</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分，全南县应急管理局向赣州市应急管理局报告事故情况。</w:t>
      </w:r>
    </w:p>
    <w:p w14:paraId="0F7EABD2">
      <w:pPr>
        <w:keepNext w:val="0"/>
        <w:keepLines w:val="0"/>
        <w:pageBreakBefore w:val="0"/>
        <w:widowControl/>
        <w:kinsoku/>
        <w:wordWrap/>
        <w:overflowPunct/>
        <w:topLinePunct w:val="0"/>
        <w:autoSpaceDE/>
        <w:autoSpaceDN/>
        <w:bidi w:val="0"/>
        <w:adjustRightInd w:val="0"/>
        <w:snapToGrid w:val="0"/>
        <w:spacing w:beforeLines="0" w:afterLines="0" w:line="560" w:lineRule="exact"/>
        <w:ind w:left="532"/>
        <w:jc w:val="both"/>
        <w:textAlignment w:val="baseline"/>
        <w:outlineLvl w:val="1"/>
        <w:rPr>
          <w:rFonts w:hint="eastAsia" w:ascii="楷体_GB2312" w:hAnsi="楷体_GB2312" w:eastAsia="楷体_GB2312" w:cs="楷体_GB2312"/>
          <w:b w:val="0"/>
          <w:bCs w:val="0"/>
          <w:color w:val="000000" w:themeColor="text1"/>
          <w:sz w:val="32"/>
          <w:szCs w:val="32"/>
          <w14:textFill>
            <w14:solidFill>
              <w14:schemeClr w14:val="tx1"/>
            </w14:solidFill>
          </w14:textFill>
        </w:rPr>
      </w:pPr>
      <w:bookmarkStart w:id="17" w:name="_Toc28739"/>
      <w:bookmarkStart w:id="18" w:name="_Toc25771"/>
      <w:bookmarkStart w:id="19" w:name="_Toc1887158512_WPSOffice_Level2"/>
      <w:r>
        <w:rPr>
          <w:rFonts w:hint="eastAsia" w:ascii="楷体_GB2312" w:hAnsi="楷体_GB2312" w:eastAsia="楷体_GB2312" w:cs="楷体_GB2312"/>
          <w:b w:val="0"/>
          <w:bCs w:val="0"/>
          <w:snapToGrid w:val="0"/>
          <w:color w:val="000000" w:themeColor="text1"/>
          <w:kern w:val="0"/>
          <w:sz w:val="32"/>
          <w:szCs w:val="32"/>
          <w:lang w:val="en-US" w:eastAsia="zh-CN" w:bidi="ar-SA"/>
          <w14:textFill>
            <w14:solidFill>
              <w14:schemeClr w14:val="tx1"/>
            </w14:solidFill>
          </w14:textFill>
        </w:rPr>
        <w:t>（二）事故现场应急处置及评估情况</w:t>
      </w:r>
      <w:bookmarkEnd w:id="16"/>
      <w:bookmarkEnd w:id="17"/>
      <w:bookmarkEnd w:id="18"/>
      <w:bookmarkEnd w:id="19"/>
    </w:p>
    <w:p w14:paraId="7148121A">
      <w:pPr>
        <w:kinsoku/>
        <w:bidi w:val="0"/>
        <w:spacing w:beforeLines="0" w:afterLines="0" w:line="560" w:lineRule="exact"/>
        <w:ind w:left="0" w:leftChars="0" w:firstLine="640" w:firstLineChars="200"/>
        <w:jc w:val="both"/>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5时10分，</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事故发生后，</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现场班组长李日华立即组织人员进行现场抢救。</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5时20分，李日华</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到+232m中段信号硐室向地面值班室电话报告并请求救援，</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地面安全员刘华接报告后立即报告总经理谢志良，15时30分，谢志良接报后立即启动应急预案并拨打120急救电话。15时50分，</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刘传钦被救出+312m中段坑口地面后，</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谢志良安排车辆将其送往陂头镇卫生院，16时50分，</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刘传钦</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经陂头镇卫生院抢救</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无效死亡。</w:t>
      </w:r>
    </w:p>
    <w:p w14:paraId="1F01F75B">
      <w:pPr>
        <w:keepNext w:val="0"/>
        <w:keepLines w:val="0"/>
        <w:pageBreakBefore w:val="0"/>
        <w:widowControl/>
        <w:kinsoku/>
        <w:wordWrap/>
        <w:overflowPunct/>
        <w:topLinePunct w:val="0"/>
        <w:autoSpaceDE/>
        <w:autoSpaceDN/>
        <w:bidi w:val="0"/>
        <w:adjustRightInd/>
        <w:snapToGrid/>
        <w:spacing w:beforeLines="0" w:afterLines="0" w:line="560" w:lineRule="exact"/>
        <w:ind w:left="16" w:firstLine="640" w:firstLineChars="200"/>
        <w:jc w:val="both"/>
        <w:textAlignment w:val="auto"/>
        <w:rPr>
          <w:rFonts w:hint="eastAsia" w:ascii="仿宋_GB2312" w:hAnsi="仿宋_GB2312" w:eastAsia="仿宋_GB2312" w:cs="仿宋_GB2312"/>
          <w:b w:val="0"/>
          <w:bCs w:val="0"/>
          <w:snapToGrid w:val="0"/>
          <w:color w:val="000000" w:themeColor="text1"/>
          <w:kern w:val="0"/>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接到事故报告后，全南县政府、全南县应急管理局、全南县陂头镇政府负责人及时赶赴现场，组织救援、维稳等工作。事故</w:t>
      </w:r>
      <w:r>
        <w:rPr>
          <w:rFonts w:hint="eastAsia" w:ascii="宋体" w:hAnsi="宋体" w:eastAsia="仿宋_GB2312" w:cs="仿宋_GB2312"/>
          <w:sz w:val="32"/>
          <w:szCs w:val="32"/>
          <w:lang w:val="en-US" w:eastAsia="zh-CN"/>
        </w:rPr>
        <w:t>应急救援</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处置得当</w:t>
      </w:r>
      <w:r>
        <w:rPr>
          <w:rFonts w:hint="eastAsia" w:ascii="宋体" w:hAnsi="宋体" w:eastAsia="仿宋_GB2312" w:cs="仿宋_GB2312"/>
          <w:sz w:val="32"/>
          <w:szCs w:val="32"/>
          <w:lang w:val="en-US" w:eastAsia="zh-CN"/>
        </w:rPr>
        <w:t>，</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救援科学有序</w:t>
      </w:r>
      <w:r>
        <w:rPr>
          <w:rFonts w:hint="eastAsia" w:ascii="宋体" w:hAnsi="宋体" w:eastAsia="仿宋_GB2312" w:cs="仿宋_GB2312"/>
          <w:sz w:val="32"/>
          <w:szCs w:val="32"/>
          <w:lang w:val="en-US" w:eastAsia="zh-CN"/>
        </w:rPr>
        <w:t>，</w:t>
      </w:r>
      <w:r>
        <w:rPr>
          <w:rFonts w:hint="eastAsia" w:ascii="仿宋_GB2312" w:hAnsi="仿宋_GB2312" w:eastAsia="仿宋_GB2312" w:cs="仿宋_GB2312"/>
          <w:b w:val="0"/>
          <w:bCs w:val="0"/>
          <w:snapToGrid w:val="0"/>
          <w:color w:val="000000" w:themeColor="text1"/>
          <w:kern w:val="0"/>
          <w:sz w:val="32"/>
          <w:szCs w:val="32"/>
          <w:u w:val="none"/>
          <w:lang w:val="en-US" w:eastAsia="zh-CN" w:bidi="ar-SA"/>
          <w14:textFill>
            <w14:solidFill>
              <w14:schemeClr w14:val="tx1"/>
            </w14:solidFill>
          </w14:textFill>
        </w:rPr>
        <w:t>未造成事故扩大和次生灾害发生。</w:t>
      </w:r>
    </w:p>
    <w:p w14:paraId="5BA4BED7">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1"/>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pPr>
      <w:bookmarkStart w:id="20" w:name="_Toc1745524968_WPSOffice_Level2"/>
      <w:bookmarkStart w:id="21" w:name="_Toc964"/>
      <w:bookmarkStart w:id="22" w:name="_Toc2039665725_WPSOffice_Level2"/>
      <w:bookmarkStart w:id="23" w:name="_Toc7766"/>
      <w:r>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t>（三）善后处理情况</w:t>
      </w:r>
      <w:bookmarkEnd w:id="20"/>
      <w:bookmarkEnd w:id="21"/>
      <w:bookmarkEnd w:id="22"/>
      <w:bookmarkEnd w:id="23"/>
    </w:p>
    <w:p w14:paraId="3777D221">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事故发生后，全南县政府成立善后处理工作组开展遇难者家属安抚工作。2月28日，官山钨业与遇难家属沟通协商签订赔偿协议并赔偿到位，善后处置工作结束。遇难者家属情绪稳定，矿区及周边社会稳定，未发生负面舆情。</w:t>
      </w:r>
    </w:p>
    <w:p w14:paraId="1DAB6AB9">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firstLine="640" w:firstLineChars="200"/>
        <w:jc w:val="both"/>
        <w:textAlignment w:val="auto"/>
        <w:outlineLvl w:val="0"/>
        <w:rPr>
          <w:rFonts w:hint="eastAsia" w:ascii="黑体" w:hAnsi="黑体" w:eastAsia="黑体" w:cs="黑体"/>
          <w:b w:val="0"/>
          <w:bCs w:val="0"/>
          <w:color w:val="000000" w:themeColor="text1"/>
          <w:sz w:val="32"/>
          <w:szCs w:val="32"/>
          <w:lang w:eastAsia="en-US"/>
          <w14:textFill>
            <w14:solidFill>
              <w14:schemeClr w14:val="tx1"/>
            </w14:solidFill>
          </w14:textFill>
        </w:rPr>
      </w:pPr>
      <w:bookmarkStart w:id="24" w:name="_Toc26362"/>
      <w:bookmarkStart w:id="25" w:name="_Toc1251208955_WPSOffice_Level1"/>
      <w:bookmarkStart w:id="26" w:name="_Toc1017385315_WPSOffice_Level1"/>
      <w:bookmarkStart w:id="27" w:name="_Toc17560"/>
      <w:r>
        <w:rPr>
          <w:rFonts w:hint="eastAsia" w:ascii="黑体" w:hAnsi="黑体" w:eastAsia="黑体" w:cs="黑体"/>
          <w:b w:val="0"/>
          <w:bCs w:val="0"/>
          <w:color w:val="000000" w:themeColor="text1"/>
          <w:spacing w:val="0"/>
          <w:sz w:val="32"/>
          <w:szCs w:val="32"/>
          <w:lang w:eastAsia="en-US"/>
          <w14:textFill>
            <w14:solidFill>
              <w14:schemeClr w14:val="tx1"/>
            </w14:solidFill>
          </w14:textFill>
        </w:rPr>
        <w:t>三、事故原因分析</w:t>
      </w:r>
      <w:bookmarkEnd w:id="24"/>
      <w:bookmarkEnd w:id="25"/>
      <w:bookmarkEnd w:id="26"/>
      <w:bookmarkEnd w:id="27"/>
    </w:p>
    <w:p w14:paraId="23EF12EF">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1"/>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pPr>
      <w:bookmarkStart w:id="28" w:name="_Toc11717"/>
      <w:bookmarkStart w:id="29" w:name="_Toc645690310_WPSOffice_Level2"/>
      <w:bookmarkStart w:id="30" w:name="_Toc1510780107_WPSOffice_Level2"/>
      <w:r>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t>（一）直接原因</w:t>
      </w:r>
      <w:bookmarkEnd w:id="28"/>
      <w:bookmarkEnd w:id="29"/>
      <w:bookmarkEnd w:id="30"/>
    </w:p>
    <w:p w14:paraId="06099991">
      <w:pPr>
        <w:keepNext w:val="0"/>
        <w:keepLines w:val="0"/>
        <w:pageBreakBefore w:val="0"/>
        <w:widowControl w:val="0"/>
        <w:numPr>
          <w:ilvl w:val="-1"/>
          <w:numId w:val="0"/>
        </w:numPr>
        <w:tabs>
          <w:tab w:val="left" w:pos="759"/>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耙矿机司机</w:t>
      </w:r>
      <w:r>
        <w:rPr>
          <w:rFonts w:hint="eastAsia" w:ascii="宋体" w:hAnsi="宋体" w:eastAsia="仿宋_GB2312" w:cs="仿宋_GB2312"/>
          <w:sz w:val="32"/>
          <w:szCs w:val="32"/>
          <w:lang w:val="en-US" w:eastAsia="zh-CN"/>
        </w:rPr>
        <w:t>刘传钦在</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+232m中段</w:t>
      </w:r>
      <w:r>
        <w:rPr>
          <w:rFonts w:hint="eastAsia" w:ascii="仿宋_GB2312" w:hAnsi="仿宋_GB2312" w:eastAsia="仿宋_GB2312" w:cs="仿宋_GB2312"/>
          <w:sz w:val="32"/>
          <w:szCs w:val="32"/>
          <w:lang w:val="en-US" w:eastAsia="zh-CN"/>
        </w:rPr>
        <w:t>V8西沿脉巷与南通风联络巷开门处</w:t>
      </w:r>
      <w:r>
        <w:rPr>
          <w:rFonts w:hint="eastAsia" w:ascii="仿宋_GB2312" w:eastAsia="仿宋_GB2312"/>
          <w:sz w:val="32"/>
          <w:szCs w:val="32"/>
          <w:lang w:eastAsia="zh-CN"/>
        </w:rPr>
        <w:t>清理巷道作业时，</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在退出耙矿机过程中发生操作失误，导致刘传钦背部被巷道转弯处凸出岩体挤压</w:t>
      </w:r>
      <w:r>
        <w:rPr>
          <w:rFonts w:hint="eastAsia" w:ascii="仿宋_GB2312" w:hAnsi="仿宋_GB2312" w:eastAsia="仿宋_GB2312" w:cs="仿宋_GB2312"/>
          <w:sz w:val="32"/>
          <w:szCs w:val="32"/>
          <w:lang w:val="en-US" w:eastAsia="zh-CN"/>
        </w:rPr>
        <w:t>致死，是事故发生的直接原因。</w:t>
      </w:r>
    </w:p>
    <w:p w14:paraId="6F6AB660">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1"/>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pPr>
      <w:bookmarkStart w:id="31" w:name="_Toc1364696248_WPSOffice_Level2"/>
      <w:bookmarkStart w:id="32" w:name="_Toc587"/>
      <w:bookmarkStart w:id="33" w:name="_Toc29162"/>
      <w:r>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t>（二）其他可能因素排除</w:t>
      </w:r>
      <w:bookmarkEnd w:id="31"/>
      <w:bookmarkEnd w:id="32"/>
      <w:bookmarkEnd w:id="33"/>
    </w:p>
    <w:p w14:paraId="7D7A809D">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9"/>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通过事故现场勘查、</w:t>
      </w:r>
      <w:r>
        <w:rPr>
          <w:rFonts w:hint="eastAsia" w:ascii="仿宋_GB2312" w:hAnsi="仿宋_GB2312" w:eastAsia="仿宋_GB2312" w:cs="仿宋_GB2312"/>
          <w:color w:val="000000" w:themeColor="text1"/>
          <w:sz w:val="32"/>
          <w:szCs w:val="32"/>
          <w:lang w:eastAsia="zh-CN"/>
          <w14:textFill>
            <w14:solidFill>
              <w14:schemeClr w14:val="tx1"/>
            </w14:solidFill>
          </w14:textFill>
        </w:rPr>
        <w:t>查证</w:t>
      </w:r>
      <w:r>
        <w:rPr>
          <w:rFonts w:hint="eastAsia" w:ascii="仿宋_GB2312" w:hAnsi="仿宋_GB2312" w:eastAsia="仿宋_GB2312" w:cs="仿宋_GB2312"/>
          <w:color w:val="000000" w:themeColor="text1"/>
          <w:sz w:val="32"/>
          <w:szCs w:val="32"/>
          <w14:textFill>
            <w14:solidFill>
              <w14:schemeClr w14:val="tx1"/>
            </w14:solidFill>
          </w14:textFill>
        </w:rPr>
        <w:t>询问</w:t>
      </w:r>
      <w:r>
        <w:rPr>
          <w:rFonts w:hint="eastAsia" w:ascii="仿宋_GB2312" w:hAnsi="仿宋_GB2312" w:eastAsia="仿宋_GB2312" w:cs="仿宋_GB2312"/>
          <w:color w:val="000000" w:themeColor="text1"/>
          <w:sz w:val="32"/>
          <w:szCs w:val="32"/>
          <w:lang w:eastAsia="zh-CN"/>
          <w14:textFill>
            <w14:solidFill>
              <w14:schemeClr w14:val="tx1"/>
            </w14:solidFill>
          </w14:textFill>
        </w:rPr>
        <w:t>调查以及综合</w:t>
      </w:r>
      <w:r>
        <w:rPr>
          <w:rFonts w:hint="eastAsia" w:ascii="仿宋_GB2312" w:hAnsi="仿宋_GB2312" w:eastAsia="仿宋_GB2312" w:cs="仿宋_GB2312"/>
          <w:color w:val="000000" w:themeColor="text1"/>
          <w:sz w:val="32"/>
          <w:szCs w:val="32"/>
          <w14:textFill>
            <w14:solidFill>
              <w14:schemeClr w14:val="tx1"/>
            </w14:solidFill>
          </w14:textFill>
        </w:rPr>
        <w:t>分析，排除</w:t>
      </w:r>
      <w:r>
        <w:rPr>
          <w:rFonts w:hint="eastAsia" w:ascii="仿宋_GB2312" w:hAnsi="仿宋_GB2312" w:eastAsia="仿宋_GB2312" w:cs="仿宋_GB2312"/>
          <w:color w:val="000000" w:themeColor="text1"/>
          <w:sz w:val="32"/>
          <w:szCs w:val="32"/>
          <w:lang w:eastAsia="zh-CN"/>
          <w14:textFill>
            <w14:solidFill>
              <w14:schemeClr w14:val="tx1"/>
            </w14:solidFill>
          </w14:textFill>
        </w:rPr>
        <w:t>他杀和</w:t>
      </w:r>
      <w:r>
        <w:rPr>
          <w:rFonts w:hint="eastAsia" w:ascii="仿宋_GB2312" w:hAnsi="仿宋_GB2312" w:eastAsia="仿宋_GB2312" w:cs="仿宋_GB2312"/>
          <w:color w:val="000000" w:themeColor="text1"/>
          <w:sz w:val="32"/>
          <w:szCs w:val="32"/>
          <w14:textFill>
            <w14:solidFill>
              <w14:schemeClr w14:val="tx1"/>
            </w14:solidFill>
          </w14:textFill>
        </w:rPr>
        <w:t>突发灾害因素等影响。</w:t>
      </w:r>
    </w:p>
    <w:p w14:paraId="19A2A029">
      <w:pPr>
        <w:keepNext w:val="0"/>
        <w:keepLines w:val="0"/>
        <w:pageBreakBefore w:val="0"/>
        <w:widowControl/>
        <w:kinsoku/>
        <w:wordWrap/>
        <w:overflowPunct/>
        <w:topLinePunct w:val="0"/>
        <w:autoSpaceDE/>
        <w:autoSpaceDN/>
        <w:bidi w:val="0"/>
        <w:adjustRightInd w:val="0"/>
        <w:snapToGrid w:val="0"/>
        <w:spacing w:beforeLines="0" w:afterLines="0" w:line="560" w:lineRule="exact"/>
        <w:ind w:left="673"/>
        <w:jc w:val="both"/>
        <w:textAlignment w:val="baseline"/>
        <w:outlineLvl w:val="0"/>
        <w:rPr>
          <w:rFonts w:hint="default" w:ascii="黑体" w:hAnsi="黑体" w:eastAsia="黑体" w:cs="黑体"/>
          <w:b w:val="0"/>
          <w:bCs w:val="0"/>
          <w:color w:val="000000" w:themeColor="text1"/>
          <w:spacing w:val="7"/>
          <w:sz w:val="32"/>
          <w:szCs w:val="32"/>
          <w:lang w:val="en-US" w:eastAsia="zh-CN"/>
          <w14:textFill>
            <w14:solidFill>
              <w14:schemeClr w14:val="tx1"/>
            </w14:solidFill>
          </w14:textFill>
        </w:rPr>
      </w:pPr>
      <w:bookmarkStart w:id="34" w:name="_Toc738125368_WPSOffice_Level2"/>
      <w:bookmarkStart w:id="35" w:name="_Toc1476336310_WPSOffice_Level1"/>
      <w:bookmarkStart w:id="36" w:name="_Toc20331"/>
      <w:bookmarkStart w:id="37" w:name="_Toc13514"/>
      <w:r>
        <w:rPr>
          <w:rFonts w:hint="eastAsia" w:ascii="黑体" w:hAnsi="黑体" w:eastAsia="黑体" w:cs="黑体"/>
          <w:b w:val="0"/>
          <w:bCs w:val="0"/>
          <w:color w:val="000000" w:themeColor="text1"/>
          <w:spacing w:val="7"/>
          <w:sz w:val="32"/>
          <w:szCs w:val="32"/>
          <w:lang w:val="en-US" w:eastAsia="zh-CN"/>
          <w14:textFill>
            <w14:solidFill>
              <w14:schemeClr w14:val="tx1"/>
            </w14:solidFill>
          </w14:textFill>
        </w:rPr>
        <w:t>四、</w:t>
      </w:r>
      <w:bookmarkEnd w:id="34"/>
      <w:r>
        <w:rPr>
          <w:rFonts w:hint="eastAsia" w:ascii="黑体" w:hAnsi="黑体" w:eastAsia="黑体" w:cs="黑体"/>
          <w:b w:val="0"/>
          <w:bCs w:val="0"/>
          <w:color w:val="000000" w:themeColor="text1"/>
          <w:spacing w:val="7"/>
          <w:sz w:val="32"/>
          <w:szCs w:val="32"/>
          <w:lang w:val="en-US" w:eastAsia="zh-CN"/>
          <w14:textFill>
            <w14:solidFill>
              <w14:schemeClr w14:val="tx1"/>
            </w14:solidFill>
          </w14:textFill>
        </w:rPr>
        <w:t>事故暴露出的主要问题</w:t>
      </w:r>
      <w:bookmarkEnd w:id="35"/>
      <w:bookmarkEnd w:id="36"/>
      <w:bookmarkEnd w:id="37"/>
    </w:p>
    <w:p w14:paraId="4D7DEE04">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1"/>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pPr>
      <w:bookmarkStart w:id="38" w:name="_Toc29615"/>
      <w:bookmarkStart w:id="39" w:name="_Toc1101667561_WPSOffice_Level2"/>
      <w:bookmarkStart w:id="40" w:name="_Toc30641"/>
      <w:r>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t>（一）</w:t>
      </w:r>
      <w:r>
        <w:rPr>
          <w:rFonts w:hint="eastAsia" w:ascii="楷体_GB2312" w:hAnsi="楷体_GB2312" w:eastAsia="楷体_GB2312" w:cs="楷体_GB2312"/>
          <w:b w:val="0"/>
          <w:bCs w:val="0"/>
          <w:color w:val="000000" w:themeColor="text1"/>
          <w:spacing w:val="0"/>
          <w:sz w:val="32"/>
          <w:szCs w:val="32"/>
          <w:lang w:val="en-US" w:eastAsia="zh-CN"/>
          <w14:textFill>
            <w14:solidFill>
              <w14:schemeClr w14:val="tx1"/>
            </w14:solidFill>
          </w14:textFill>
        </w:rPr>
        <w:t>官山钨业</w:t>
      </w:r>
      <w:bookmarkEnd w:id="38"/>
      <w:bookmarkEnd w:id="39"/>
      <w:bookmarkEnd w:id="40"/>
    </w:p>
    <w:p w14:paraId="160BFA40">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2"/>
        <w:rPr>
          <w:rFonts w:hint="default"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bookmarkStart w:id="41" w:name="_Toc13874"/>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1.</w:t>
      </w:r>
      <w:bookmarkEnd w:id="41"/>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安全生产第一责任人履职不到位。公司总经理、矿长履行《中华人民共和国安全生产法》法定工作职责不够到位</w:t>
      </w:r>
      <w:r>
        <w:rPr>
          <w:rFonts w:hint="eastAsia" w:ascii="仿宋_GB2312" w:hAnsi="仿宋_GB2312" w:eastAsia="仿宋_GB2312" w:cs="仿宋_GB2312"/>
          <w:i w:val="0"/>
          <w:iCs w:val="0"/>
          <w:caps w:val="0"/>
          <w:color w:val="000000" w:themeColor="text1"/>
          <w:spacing w:val="0"/>
          <w:kern w:val="0"/>
          <w:sz w:val="32"/>
          <w:szCs w:val="32"/>
          <w:shd w:val="clear"/>
          <w:lang w:val="en-US" w:eastAsia="zh-CN" w:bidi="ar-SA"/>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对安全生产</w:t>
      </w:r>
      <w:r>
        <w:rPr>
          <w:rFonts w:hint="eastAsia" w:ascii="仿宋_GB2312" w:hAnsi="仿宋_GB2312" w:eastAsia="仿宋_GB2312" w:cs="仿宋_GB2312"/>
          <w:sz w:val="32"/>
          <w:szCs w:val="32"/>
          <w:lang w:val="en-US" w:eastAsia="zh-CN"/>
        </w:rPr>
        <w:t>教育培训</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和隐患排查治理重视不够，多次检查发现井下从业人员存在“三违”现象未采取有效的防范措施。</w:t>
      </w:r>
    </w:p>
    <w:p w14:paraId="4F8E8C21">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2"/>
        <w:rPr>
          <w:rFonts w:hint="eastAsia" w:ascii="仿宋_GB2312" w:hAnsi="仿宋_GB2312" w:eastAsia="仿宋_GB2312" w:cs="仿宋_GB2312"/>
          <w:sz w:val="32"/>
          <w:szCs w:val="32"/>
          <w:lang w:val="en-US" w:eastAsia="zh-CN"/>
        </w:rPr>
      </w:pPr>
      <w:bookmarkStart w:id="42" w:name="_Toc21218"/>
      <w:bookmarkStart w:id="43" w:name="_Toc16420"/>
      <w:r>
        <w:rPr>
          <w:rFonts w:hint="eastAsia" w:ascii="仿宋_GB2312" w:hAnsi="仿宋_GB2312" w:eastAsia="仿宋_GB2312" w:cs="仿宋_GB2312"/>
          <w:sz w:val="32"/>
          <w:szCs w:val="32"/>
          <w:lang w:val="en-US" w:eastAsia="zh-CN"/>
        </w:rPr>
        <w:t>2.安全生产教育培训制度落实不到位。未按规定对新入职员工开展安全生产教育培训，2025年2月13日复工复产安全教育培训未实现人员全覆盖，</w:t>
      </w:r>
      <w:r>
        <w:rPr>
          <w:rFonts w:hint="eastAsia" w:ascii="仿宋_GB2312" w:hAnsi="仿宋_GB2312" w:eastAsia="仿宋_GB2312" w:cs="仿宋_GB2312"/>
          <w:snapToGrid w:val="0"/>
          <w:color w:val="000000"/>
          <w:kern w:val="0"/>
          <w:sz w:val="32"/>
          <w:szCs w:val="32"/>
        </w:rPr>
        <w:t>导致从业人员安全意识淡薄、</w:t>
      </w:r>
      <w:r>
        <w:rPr>
          <w:rFonts w:hint="eastAsia" w:ascii="仿宋_GB2312" w:hAnsi="仿宋_GB2312" w:eastAsia="仿宋_GB2312" w:cs="仿宋_GB2312"/>
          <w:snapToGrid w:val="0"/>
          <w:color w:val="000000"/>
          <w:kern w:val="0"/>
          <w:sz w:val="32"/>
          <w:szCs w:val="32"/>
          <w:lang w:eastAsia="zh-CN"/>
        </w:rPr>
        <w:t>岗位</w:t>
      </w:r>
      <w:r>
        <w:rPr>
          <w:rFonts w:hint="eastAsia" w:ascii="仿宋_GB2312" w:hAnsi="仿宋_GB2312" w:eastAsia="仿宋_GB2312" w:cs="仿宋_GB2312"/>
          <w:snapToGrid w:val="0"/>
          <w:color w:val="000000"/>
          <w:kern w:val="0"/>
          <w:sz w:val="32"/>
          <w:szCs w:val="32"/>
        </w:rPr>
        <w:t>操作技能不熟练</w:t>
      </w:r>
      <w:r>
        <w:rPr>
          <w:rFonts w:hint="eastAsia" w:ascii="仿宋_GB2312" w:hAnsi="仿宋_GB2312" w:eastAsia="仿宋_GB2312" w:cs="仿宋_GB2312"/>
          <w:sz w:val="32"/>
          <w:szCs w:val="32"/>
          <w:lang w:val="en-US" w:eastAsia="zh-CN"/>
        </w:rPr>
        <w:t>。</w:t>
      </w:r>
    </w:p>
    <w:p w14:paraId="103C7C54">
      <w:pPr>
        <w:keepNext w:val="0"/>
        <w:keepLines w:val="0"/>
        <w:pageBreakBefore w:val="0"/>
        <w:widowControl w:val="0"/>
        <w:numPr>
          <w:ilvl w:val="0"/>
          <w:numId w:val="0"/>
        </w:numPr>
        <w:tabs>
          <w:tab w:val="left" w:pos="759"/>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风险防控与隐患排查治理制度落实不到位。未严格执行风险防控和隐患排查治理双重预防机制，对作业地点空间狭小、作业设备相对较大可能造成机械伤害事故风险辨识不足，日常隐患排查不到位，未及时发现消除</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耙</w:t>
      </w:r>
      <w:r>
        <w:rPr>
          <w:rFonts w:hint="eastAsia" w:ascii="仿宋_GB2312" w:hAnsi="仿宋_GB2312" w:eastAsia="仿宋_GB2312" w:cs="仿宋_GB2312"/>
          <w:sz w:val="32"/>
          <w:szCs w:val="32"/>
          <w:lang w:val="en-US" w:eastAsia="zh-CN"/>
        </w:rPr>
        <w:t>矿机作业过程偏离巷道中心线的安全隐患。</w:t>
      </w:r>
    </w:p>
    <w:p w14:paraId="3060C4D9">
      <w:pPr>
        <w:keepNext w:val="0"/>
        <w:keepLines w:val="0"/>
        <w:pageBreakBefore w:val="0"/>
        <w:widowControl w:val="0"/>
        <w:numPr>
          <w:ilvl w:val="0"/>
          <w:numId w:val="0"/>
        </w:numPr>
        <w:tabs>
          <w:tab w:val="left" w:pos="759"/>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4.安全技术管理不到位。未下发开工通知单，未履行开工安全技术交底，未向现场作业人员告知安全风险，未对安全风险提出有效防范措施。</w:t>
      </w:r>
    </w:p>
    <w:p w14:paraId="5CC82D06">
      <w:pPr>
        <w:keepNext w:val="0"/>
        <w:keepLines w:val="0"/>
        <w:pageBreakBefore w:val="0"/>
        <w:widowControl w:val="0"/>
        <w:numPr>
          <w:ilvl w:val="0"/>
          <w:numId w:val="0"/>
        </w:numPr>
        <w:tabs>
          <w:tab w:val="left" w:pos="759"/>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5.工程质量验收走过场。虽然组织工程质量验收，但未发现V8西沿脉掘进巷道与南通风联络巷开门处施工质量不达标、存在明显欠挖、有效断面不足等问题。</w:t>
      </w:r>
    </w:p>
    <w:p w14:paraId="69CCB4CC">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1"/>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pPr>
      <w:bookmarkStart w:id="44" w:name="_Toc952273309_WPSOffice_Level2"/>
      <w:r>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t>（二）相关职能部门的问题</w:t>
      </w:r>
      <w:bookmarkEnd w:id="42"/>
      <w:bookmarkEnd w:id="43"/>
      <w:bookmarkEnd w:id="44"/>
    </w:p>
    <w:p w14:paraId="0FCDA350">
      <w:pPr>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Lines="0" w:afterAutospacing="0" w:line="560" w:lineRule="exact"/>
        <w:ind w:firstLine="640" w:firstLineChars="200"/>
        <w:jc w:val="both"/>
        <w:textAlignment w:val="auto"/>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全南县应急管理局。对企业申请复工复产报告审核不细致，未及时发现企业安全生产教育培训不到位等问题。</w:t>
      </w:r>
    </w:p>
    <w:p w14:paraId="30105DEF">
      <w:pPr>
        <w:pStyle w:val="5"/>
        <w:kinsoku/>
        <w:autoSpaceDE/>
        <w:autoSpaceDN/>
        <w:bidi w:val="0"/>
        <w:spacing w:line="560" w:lineRule="exact"/>
        <w:jc w:val="both"/>
        <w:rPr>
          <w:rFonts w:hint="default"/>
          <w:b w:val="0"/>
          <w:bCs w:val="0"/>
          <w:color w:val="000000" w:themeColor="text1"/>
          <w14:textFill>
            <w14:solidFill>
              <w14:schemeClr w14:val="tx1"/>
            </w14:solidFill>
          </w14:textFill>
        </w:rPr>
      </w:pPr>
      <w:bookmarkStart w:id="45" w:name="_Toc31858"/>
      <w:bookmarkStart w:id="46" w:name="_Toc743633609_WPSOffice_Level1"/>
      <w:bookmarkStart w:id="47" w:name="_Toc2020450899_WPSOffice_Level1"/>
      <w:bookmarkStart w:id="48" w:name="_Toc18298_WPSOffice_Level1"/>
      <w:bookmarkStart w:id="49" w:name="_Toc8265"/>
      <w:r>
        <w:rPr>
          <w:rFonts w:hint="eastAsia"/>
          <w:b w:val="0"/>
          <w:bCs w:val="0"/>
          <w:color w:val="000000" w:themeColor="text1"/>
          <w:lang w:eastAsia="zh-CN"/>
          <w14:textFill>
            <w14:solidFill>
              <w14:schemeClr w14:val="tx1"/>
            </w14:solidFill>
          </w14:textFill>
        </w:rPr>
        <w:t>五</w:t>
      </w:r>
      <w:r>
        <w:rPr>
          <w:rFonts w:hint="default"/>
          <w:b w:val="0"/>
          <w:bCs w:val="0"/>
          <w:color w:val="000000" w:themeColor="text1"/>
          <w14:textFill>
            <w14:solidFill>
              <w14:schemeClr w14:val="tx1"/>
            </w14:solidFill>
          </w14:textFill>
        </w:rPr>
        <w:t>、事故责任划分及处理建议</w:t>
      </w:r>
      <w:bookmarkEnd w:id="45"/>
      <w:bookmarkEnd w:id="46"/>
      <w:bookmarkEnd w:id="47"/>
      <w:bookmarkEnd w:id="48"/>
      <w:bookmarkEnd w:id="49"/>
    </w:p>
    <w:p w14:paraId="09EF0581">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1"/>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pPr>
      <w:bookmarkStart w:id="50" w:name="_Toc19579"/>
      <w:bookmarkStart w:id="51" w:name="_Toc26823"/>
      <w:bookmarkStart w:id="52" w:name="_Toc1190948948_WPSOffice_Level2"/>
      <w:bookmarkStart w:id="53" w:name="_Toc56667376_WPSOffice_Level2"/>
      <w:r>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t>（一）对事故单位及有关责任人员的处罚建议</w:t>
      </w:r>
      <w:bookmarkEnd w:id="50"/>
      <w:bookmarkEnd w:id="51"/>
      <w:bookmarkEnd w:id="52"/>
      <w:bookmarkEnd w:id="53"/>
    </w:p>
    <w:p w14:paraId="11244A1D">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官山钨业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。未依法履行企业安全生产主体责任，</w:t>
      </w:r>
      <w:r>
        <w:rPr>
          <w:rFonts w:hint="eastAsia" w:ascii="仿宋_GB2312" w:hAnsi="仿宋_GB2312" w:eastAsia="仿宋_GB2312" w:cs="仿宋_GB2312"/>
          <w:sz w:val="32"/>
          <w:szCs w:val="32"/>
          <w:lang w:val="en-US" w:eastAsia="zh-CN"/>
        </w:rPr>
        <w:t>落实安全生产教育培训制度</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sz w:val="32"/>
          <w:szCs w:val="32"/>
          <w:lang w:val="en-US" w:eastAsia="zh-CN"/>
        </w:rPr>
        <w:t>风险防控与隐患排查治理不到位、安全和技术管理不到位、工程质量验收走过场</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，违反了《中华人民共和国安全生产法》第二十一条</w:t>
      </w:r>
      <w:r>
        <w:rPr>
          <w:rStyle w:val="17"/>
          <w:rFonts w:hint="eastAsia" w:ascii="宋体" w:hAnsi="宋体" w:eastAsia="仿宋_GB2312" w:cs="仿宋_GB2312"/>
          <w:b w:val="0"/>
          <w:bCs w:val="0"/>
          <w:snapToGrid w:val="0"/>
          <w:color w:val="000000" w:themeColor="text1"/>
          <w:kern w:val="0"/>
          <w:sz w:val="32"/>
          <w:szCs w:val="32"/>
          <w:lang w:val="en-US" w:eastAsia="zh-CN" w:bidi="ar-SA"/>
          <w14:textFill>
            <w14:solidFill>
              <w14:schemeClr w14:val="tx1"/>
            </w14:solidFill>
          </w14:textFill>
        </w:rPr>
        <w:t>[</w:t>
      </w:r>
      <w:r>
        <w:rPr>
          <w:rStyle w:val="17"/>
          <w:rFonts w:hint="eastAsia" w:ascii="宋体" w:hAnsi="宋体" w:eastAsia="仿宋_GB2312" w:cs="仿宋_GB2312"/>
          <w:b w:val="0"/>
          <w:bCs w:val="0"/>
          <w:snapToGrid w:val="0"/>
          <w:color w:val="000000" w:themeColor="text1"/>
          <w:kern w:val="0"/>
          <w:sz w:val="32"/>
          <w:szCs w:val="32"/>
          <w:lang w:val="en-US" w:eastAsia="zh-CN" w:bidi="ar-SA"/>
          <w14:textFill>
            <w14:solidFill>
              <w14:schemeClr w14:val="tx1"/>
            </w14:solidFill>
          </w14:textFill>
        </w:rPr>
        <w:footnoteReference w:id="0"/>
      </w:r>
      <w:r>
        <w:rPr>
          <w:rStyle w:val="17"/>
          <w:rFonts w:hint="eastAsia" w:ascii="宋体" w:hAnsi="宋体" w:eastAsia="仿宋_GB2312" w:cs="仿宋_GB2312"/>
          <w:b w:val="0"/>
          <w:bCs w:val="0"/>
          <w:snapToGrid w:val="0"/>
          <w:color w:val="000000" w:themeColor="text1"/>
          <w:kern w:val="0"/>
          <w:sz w:val="32"/>
          <w:szCs w:val="32"/>
          <w:lang w:val="en-US" w:eastAsia="zh-CN" w:bidi="ar-SA"/>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t>第二十八条</w:t>
      </w:r>
      <w:r>
        <w:rPr>
          <w:rStyle w:val="17"/>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t>[</w:t>
      </w:r>
      <w:r>
        <w:rPr>
          <w:rStyle w:val="17"/>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footnoteReference w:id="1"/>
      </w:r>
      <w:r>
        <w:rPr>
          <w:rStyle w:val="17"/>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之规定，依据《中华人民共和国安全生产法》第一百一十四条第（一）项</w:t>
      </w:r>
      <w:r>
        <w:rPr>
          <w:rStyle w:val="17"/>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Style w:val="17"/>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footnoteReference w:id="2"/>
      </w:r>
      <w:r>
        <w:rPr>
          <w:rStyle w:val="17"/>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规定，建议由应急管理部门予以行政处罚。</w:t>
      </w:r>
    </w:p>
    <w:p w14:paraId="20B183FC">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2.谢某，</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官山钨业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总经理，负责公司全面工作</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，履行</w:t>
      </w:r>
      <w:r>
        <w:rPr>
          <w:rFonts w:hint="eastAsia" w:ascii="仿宋_GB2312" w:hAnsi="仿宋_GB2312" w:eastAsia="仿宋_GB2312" w:cs="仿宋_GB2312"/>
          <w:color w:val="000000" w:themeColor="text1"/>
          <w:sz w:val="32"/>
          <w:szCs w:val="32"/>
          <w:lang w:eastAsia="zh-CN"/>
          <w14:textFill>
            <w14:solidFill>
              <w14:schemeClr w14:val="tx1"/>
            </w14:solidFill>
          </w14:textFill>
        </w:rPr>
        <w:t>生产经营单位主要负责人</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法定职责不到位，对</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安全生产教育培训不到位等问题失管失察，</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对事故发生负主要领导责任。</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违反了《中华人民共和国安全生产法》第二十一条、</w:t>
      </w:r>
      <w:r>
        <w:rPr>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t>第二十八条</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之规定，</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依据《</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中华人民共和国安全生产法</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》第九十五条第（一）项规定</w:t>
      </w:r>
      <w:r>
        <w:rPr>
          <w:rStyle w:val="17"/>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w:t>
      </w:r>
      <w:r>
        <w:rPr>
          <w:rStyle w:val="17"/>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footnoteReference w:id="3"/>
      </w:r>
      <w:r>
        <w:rPr>
          <w:rStyle w:val="17"/>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建议由应急管理部门予以行政处罚。</w:t>
      </w:r>
    </w:p>
    <w:p w14:paraId="4724B94B">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3.廖某，</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官山钨业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矿长，负责矿山安全生产工作，</w:t>
      </w:r>
      <w:r>
        <w:rPr>
          <w:rFonts w:hint="eastAsia" w:ascii="仿宋_GB2312" w:hAnsi="仿宋_GB2312" w:eastAsia="仿宋_GB2312" w:cs="仿宋_GB2312"/>
          <w:sz w:val="32"/>
          <w:szCs w:val="32"/>
          <w:lang w:val="en-US" w:eastAsia="zh-CN"/>
        </w:rPr>
        <w:t>落实安全生产教育培训制度不到位，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对新入职员工开展安全培训教育不到位，未及时发现消除安全隐患</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对事故发生负主要领导责任。</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违反了《中华人民共和国安全生产法》第二十一条、</w:t>
      </w:r>
      <w:r>
        <w:rPr>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t>第二十八条</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之规定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依据《</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中华人民共和国安全生产法</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》第九十五条第（一）项规定，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建议由应急管理部门予以行政处罚。</w:t>
      </w:r>
    </w:p>
    <w:p w14:paraId="1272EBC8">
      <w:pPr>
        <w:keepNext w:val="0"/>
        <w:keepLines w:val="0"/>
        <w:pageBreakBefore w:val="0"/>
        <w:widowControl/>
        <w:numPr>
          <w:ilvl w:val="-1"/>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雒某</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官山钨业总工程师</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,负责</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技术、</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工程质量验收等</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工作</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sz w:val="32"/>
          <w:szCs w:val="32"/>
          <w:lang w:val="en-US" w:eastAsia="zh-CN"/>
        </w:rPr>
        <w:t>对V8西沿脉掘进巷道与南通风联络巷开门处施工质量不达标、开门处有效断面不足等问题失管失察，仍然通过验收，</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对事故发生负重要领导责任。</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违反了《中华人民共和国安全生产法》</w:t>
      </w:r>
      <w:r>
        <w:rPr>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t>第二十五条</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之规定</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依据《</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中华人民共和国安全生产法</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》第九十六条</w:t>
      </w:r>
      <w:r>
        <w:rPr>
          <w:rStyle w:val="17"/>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w:t>
      </w:r>
      <w:r>
        <w:rPr>
          <w:rStyle w:val="17"/>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footnoteReference w:id="4"/>
      </w:r>
      <w:r>
        <w:rPr>
          <w:rStyle w:val="17"/>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规定，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建议由应急管理部门予以行政处罚。</w:t>
      </w:r>
    </w:p>
    <w:p w14:paraId="45F3381D">
      <w:pPr>
        <w:keepNext w:val="0"/>
        <w:keepLines w:val="0"/>
        <w:pageBreakBefore w:val="0"/>
        <w:widowControl/>
        <w:numPr>
          <w:ilvl w:val="-1"/>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5.李某，</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官山钨业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安全副矿长，分管安全生产工作，</w:t>
      </w:r>
      <w:r>
        <w:rPr>
          <w:rFonts w:hint="eastAsia" w:ascii="仿宋_GB2312" w:hAnsi="仿宋_GB2312" w:eastAsia="仿宋_GB2312" w:cs="仿宋_GB2312"/>
          <w:color w:val="000000" w:themeColor="text1"/>
          <w:sz w:val="32"/>
          <w:szCs w:val="32"/>
          <w:lang w:eastAsia="zh-CN"/>
          <w14:textFill>
            <w14:solidFill>
              <w14:schemeClr w14:val="tx1"/>
            </w14:solidFill>
          </w14:textFill>
        </w:rPr>
        <w:t>开展安全生产检查不够，未及时排查安全事故隐患，未制止和纠正“三违</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行为，</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对事故发生负重要领导责任。</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违反了《中华人民共和国安全生产法》</w:t>
      </w:r>
      <w:r>
        <w:rPr>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t>第二十五条</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之规定</w:t>
      </w:r>
      <w:r>
        <w:rPr>
          <w:rStyle w:val="17"/>
          <w:rFonts w:hint="eastAsia" w:ascii="仿宋_GB2312" w:hAnsi="仿宋_GB2312" w:eastAsia="仿宋_GB2312" w:cs="仿宋_GB2312"/>
          <w:color w:val="000000" w:themeColor="text1"/>
          <w:sz w:val="32"/>
          <w:szCs w:val="32"/>
          <w:lang w:eastAsia="zh-CN"/>
          <w14:textFill>
            <w14:solidFill>
              <w14:schemeClr w14:val="tx1"/>
            </w14:solidFill>
          </w14:textFill>
        </w:rPr>
        <w:t>[</w:t>
      </w:r>
      <w:r>
        <w:rPr>
          <w:rStyle w:val="17"/>
          <w:rFonts w:hint="eastAsia" w:ascii="仿宋_GB2312" w:hAnsi="仿宋_GB2312" w:eastAsia="仿宋_GB2312" w:cs="仿宋_GB2312"/>
          <w:color w:val="000000" w:themeColor="text1"/>
          <w:sz w:val="32"/>
          <w:szCs w:val="32"/>
          <w:lang w:eastAsia="zh-CN"/>
          <w14:textFill>
            <w14:solidFill>
              <w14:schemeClr w14:val="tx1"/>
            </w14:solidFill>
          </w14:textFill>
        </w:rPr>
        <w:footnoteReference w:id="5"/>
      </w:r>
      <w:r>
        <w:rPr>
          <w:rStyle w:val="17"/>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依据《</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中华人民共和国安全生产法</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》第九十六条规定，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建议由应急管理部门予以行政处罚。</w:t>
      </w:r>
    </w:p>
    <w:p w14:paraId="4EC95C01">
      <w:pPr>
        <w:widowControl/>
        <w:numPr>
          <w:ilvl w:val="-1"/>
          <w:numId w:val="0"/>
        </w:numPr>
        <w:kinsoku/>
        <w:autoSpaceDE/>
        <w:autoSpaceDN/>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6.蓝某，</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官山钨业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机电副矿长，事发当天带班领导，</w:t>
      </w:r>
      <w:r>
        <w:rPr>
          <w:rFonts w:hint="eastAsia" w:ascii="宋体" w:hAnsi="宋体" w:eastAsia="仿宋_GB2312" w:cs="仿宋_GB2312"/>
          <w:bCs w:val="0"/>
          <w:kern w:val="2"/>
          <w:sz w:val="32"/>
          <w:szCs w:val="32"/>
          <w:lang w:val="en-US" w:eastAsia="zh-CN" w:bidi="ar-SA"/>
        </w:rPr>
        <w:t>对井下重点部位、关键环节的安全检查巡视不够，未掌握井下的安全生产情况，未及时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发现安全隐患，</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对事故发生负重要领导责任。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违反了</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b w:val="0"/>
          <w:bCs w:val="0"/>
          <w:i w:val="0"/>
          <w:caps w:val="0"/>
          <w:color w:val="000000" w:themeColor="text1"/>
          <w:spacing w:val="0"/>
          <w:kern w:val="0"/>
          <w:sz w:val="32"/>
          <w:szCs w:val="32"/>
          <w:shd w:val="clear"/>
          <w:lang w:val="en-US" w:eastAsia="zh-CN" w:bidi="ar-SA"/>
          <w14:textFill>
            <w14:solidFill>
              <w14:schemeClr w14:val="tx1"/>
            </w14:solidFill>
          </w14:textFill>
        </w:rPr>
        <w:t>金属非金属地下矿山企业领导带班下井及监督检查暂行规定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第十条</w:t>
      </w:r>
      <w:r>
        <w:rPr>
          <w:rStyle w:val="17"/>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Style w:val="17"/>
          <w:rFonts w:hint="eastAsia" w:ascii="仿宋_GB2312" w:hAnsi="仿宋_GB2312" w:eastAsia="仿宋_GB2312" w:cs="仿宋_GB2312"/>
          <w:color w:val="000000" w:themeColor="text1"/>
          <w:sz w:val="32"/>
          <w:szCs w:val="32"/>
          <w:lang w:val="en-US" w:eastAsia="zh-CN"/>
          <w14:textFill>
            <w14:solidFill>
              <w14:schemeClr w14:val="tx1"/>
            </w14:solidFill>
          </w14:textFill>
        </w:rPr>
        <w:footnoteReference w:id="6"/>
      </w:r>
      <w:r>
        <w:rPr>
          <w:rStyle w:val="17"/>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《中华人民共和国安全生产法》</w:t>
      </w:r>
      <w:r>
        <w:rPr>
          <w:rFonts w:hint="eastAsia" w:ascii="宋体" w:hAnsi="宋体" w:eastAsia="仿宋_GB2312" w:cs="仿宋_GB2312"/>
          <w:b w:val="0"/>
          <w:bCs w:val="0"/>
          <w:color w:val="000000" w:themeColor="text1"/>
          <w:kern w:val="0"/>
          <w:sz w:val="32"/>
          <w:szCs w:val="32"/>
          <w:lang w:val="en-US" w:eastAsia="zh-CN"/>
          <w14:textFill>
            <w14:solidFill>
              <w14:schemeClr w14:val="tx1"/>
            </w14:solidFill>
          </w14:textFill>
        </w:rPr>
        <w:t>第二十五条</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之规定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依据《</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中华人民共和国安全生产法</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》第九十六条规定，</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建议由应急管理部门予以行政处罚。</w:t>
      </w:r>
    </w:p>
    <w:p w14:paraId="4C2396D3">
      <w:pPr>
        <w:numPr>
          <w:ilvl w:val="0"/>
          <w:numId w:val="0"/>
        </w:numPr>
        <w:kinsoku/>
        <w:autoSpaceDE/>
        <w:autoSpaceDN/>
        <w:adjustRightInd/>
        <w:snapToGrid/>
        <w:spacing w:beforeLines="0" w:afterLines="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7.李某，</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官山钨业安全员，事故班组班组长</w:t>
      </w:r>
      <w:r>
        <w:rPr>
          <w:rFonts w:hint="eastAsia" w:ascii="仿宋_GB2312" w:hAnsi="仿宋_GB2312" w:eastAsia="仿宋_GB2312" w:cs="仿宋_GB2312"/>
          <w:color w:val="000000" w:themeColor="text1"/>
          <w:sz w:val="32"/>
          <w:szCs w:val="32"/>
          <w:lang w:eastAsia="zh-CN"/>
          <w14:textFill>
            <w14:solidFill>
              <w14:schemeClr w14:val="tx1"/>
            </w14:solidFill>
          </w14:textFill>
        </w:rPr>
        <w:t>，未及时发现并消除耙矿机作业过程偏离巷道中心线等作业现场安全隐患，未制止和纠正“三违</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行为</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对事故发生负直接责任，</w:t>
      </w: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建议由官山钨业进行处理。</w:t>
      </w:r>
    </w:p>
    <w:p w14:paraId="1C652C2F">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1"/>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pPr>
      <w:bookmarkStart w:id="54" w:name="_Toc998557655_WPSOffice_Level2"/>
      <w:bookmarkStart w:id="55" w:name="_Toc22890"/>
      <w:bookmarkStart w:id="56" w:name="_Toc19063"/>
      <w:bookmarkStart w:id="57" w:name="_Toc1426448195_WPSOffice_Level2"/>
      <w:r>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t>（二）</w:t>
      </w:r>
      <w:bookmarkEnd w:id="54"/>
      <w:bookmarkEnd w:id="55"/>
      <w:bookmarkEnd w:id="56"/>
      <w:bookmarkStart w:id="58" w:name="_Toc21641"/>
      <w:bookmarkStart w:id="59" w:name="_Toc1096028575_WPSOffice_Level2"/>
      <w:bookmarkStart w:id="60" w:name="_Toc20348"/>
      <w:r>
        <w:rPr>
          <w:rFonts w:hint="eastAsia" w:ascii="楷体_GB2312" w:hAnsi="楷体_GB2312" w:eastAsia="楷体_GB2312" w:cs="楷体_GB2312"/>
          <w:b w:val="0"/>
          <w:bCs w:val="0"/>
          <w:color w:val="000000" w:themeColor="text1"/>
          <w:kern w:val="0"/>
          <w:sz w:val="32"/>
          <w:szCs w:val="32"/>
          <w:lang w:val="en-US" w:eastAsia="zh-CN"/>
          <w14:textFill>
            <w14:solidFill>
              <w14:schemeClr w14:val="tx1"/>
            </w14:solidFill>
          </w14:textFill>
        </w:rPr>
        <w:t>其他建议</w:t>
      </w:r>
      <w:bookmarkEnd w:id="57"/>
      <w:bookmarkEnd w:id="58"/>
      <w:bookmarkEnd w:id="59"/>
      <w:bookmarkEnd w:id="60"/>
    </w:p>
    <w:p w14:paraId="4E0C5C0A">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责令全南县应急管理局向全南县人民政府做出深刻检查。</w:t>
      </w:r>
    </w:p>
    <w:p w14:paraId="4F80F7FF">
      <w:pPr>
        <w:keepNext w:val="0"/>
        <w:keepLines w:val="0"/>
        <w:pageBreakBefore w:val="0"/>
        <w:widowControl/>
        <w:kinsoku/>
        <w:wordWrap/>
        <w:overflowPunct/>
        <w:topLinePunct w:val="0"/>
        <w:autoSpaceDE/>
        <w:autoSpaceDN/>
        <w:bidi w:val="0"/>
        <w:adjustRightInd w:val="0"/>
        <w:snapToGrid w:val="0"/>
        <w:spacing w:beforeLines="0" w:afterLines="0" w:line="560" w:lineRule="exact"/>
        <w:ind w:left="675"/>
        <w:jc w:val="both"/>
        <w:textAlignment w:val="baseline"/>
        <w:outlineLvl w:val="0"/>
        <w:rPr>
          <w:rFonts w:hint="eastAsia" w:ascii="黑体" w:hAnsi="黑体" w:eastAsia="黑体" w:cs="黑体"/>
          <w:b w:val="0"/>
          <w:bCs w:val="0"/>
          <w:color w:val="000000" w:themeColor="text1"/>
          <w:sz w:val="32"/>
          <w:szCs w:val="32"/>
          <w:lang w:eastAsia="zh-CN"/>
          <w14:textFill>
            <w14:solidFill>
              <w14:schemeClr w14:val="tx1"/>
            </w14:solidFill>
          </w14:textFill>
        </w:rPr>
      </w:pPr>
      <w:bookmarkStart w:id="61" w:name="_Toc789010292_WPSOffice_Level1"/>
      <w:bookmarkStart w:id="62" w:name="_Toc29254"/>
      <w:bookmarkStart w:id="63" w:name="_Toc28528"/>
      <w:bookmarkStart w:id="64" w:name="_Toc70913467_WPSOffice_Level1"/>
      <w:r>
        <w:rPr>
          <w:rFonts w:hint="eastAsia" w:ascii="黑体" w:hAnsi="黑体" w:eastAsia="黑体" w:cs="黑体"/>
          <w:b w:val="0"/>
          <w:bCs w:val="0"/>
          <w:color w:val="000000" w:themeColor="text1"/>
          <w:spacing w:val="7"/>
          <w:sz w:val="32"/>
          <w:szCs w:val="32"/>
          <w:lang w:eastAsia="zh-CN"/>
          <w14:textFill>
            <w14:solidFill>
              <w14:schemeClr w14:val="tx1"/>
            </w14:solidFill>
          </w14:textFill>
        </w:rPr>
        <w:t>六</w:t>
      </w:r>
      <w:r>
        <w:rPr>
          <w:rFonts w:ascii="黑体" w:hAnsi="黑体" w:eastAsia="黑体" w:cs="黑体"/>
          <w:b w:val="0"/>
          <w:bCs w:val="0"/>
          <w:color w:val="000000" w:themeColor="text1"/>
          <w:spacing w:val="7"/>
          <w:sz w:val="32"/>
          <w:szCs w:val="32"/>
          <w14:textFill>
            <w14:solidFill>
              <w14:schemeClr w14:val="tx1"/>
            </w14:solidFill>
          </w14:textFill>
        </w:rPr>
        <w:t>、事故</w:t>
      </w:r>
      <w:r>
        <w:rPr>
          <w:rFonts w:hint="eastAsia" w:ascii="黑体" w:hAnsi="黑体" w:eastAsia="黑体" w:cs="黑体"/>
          <w:b w:val="0"/>
          <w:bCs w:val="0"/>
          <w:color w:val="000000" w:themeColor="text1"/>
          <w:spacing w:val="7"/>
          <w:sz w:val="32"/>
          <w:szCs w:val="32"/>
          <w:lang w:eastAsia="zh-CN"/>
          <w14:textFill>
            <w14:solidFill>
              <w14:schemeClr w14:val="tx1"/>
            </w14:solidFill>
          </w14:textFill>
        </w:rPr>
        <w:t>防范措施</w:t>
      </w:r>
      <w:bookmarkEnd w:id="61"/>
      <w:bookmarkEnd w:id="62"/>
      <w:bookmarkEnd w:id="63"/>
      <w:r>
        <w:rPr>
          <w:rFonts w:hint="eastAsia" w:ascii="黑体" w:hAnsi="黑体" w:eastAsia="黑体" w:cs="黑体"/>
          <w:b w:val="0"/>
          <w:bCs w:val="0"/>
          <w:color w:val="000000" w:themeColor="text1"/>
          <w:spacing w:val="7"/>
          <w:sz w:val="32"/>
          <w:szCs w:val="32"/>
          <w:lang w:eastAsia="zh-CN"/>
          <w14:textFill>
            <w14:solidFill>
              <w14:schemeClr w14:val="tx1"/>
            </w14:solidFill>
          </w14:textFill>
        </w:rPr>
        <w:t>建议</w:t>
      </w:r>
      <w:bookmarkEnd w:id="64"/>
    </w:p>
    <w:p w14:paraId="6F270469">
      <w:pPr>
        <w:pStyle w:val="9"/>
        <w:keepNext w:val="0"/>
        <w:keepLines w:val="0"/>
        <w:pageBreakBefore w:val="0"/>
        <w:widowControl/>
        <w:kinsoku/>
        <w:wordWrap/>
        <w:overflowPunct/>
        <w:topLinePunct w:val="0"/>
        <w:autoSpaceDE/>
        <w:autoSpaceDN/>
        <w:bidi w:val="0"/>
        <w:adjustRightInd w:val="0"/>
        <w:snapToGrid w:val="0"/>
        <w:spacing w:beforeLines="0" w:afterLines="0" w:line="580" w:lineRule="exact"/>
        <w:ind w:left="0" w:right="0" w:firstLine="640" w:firstLineChars="200"/>
        <w:jc w:val="both"/>
        <w:textAlignment w:val="baseline"/>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pPr>
      <w:bookmarkStart w:id="65" w:name="_Toc2029235920_WPSOffice_Level2"/>
      <w:r>
        <w:rPr>
          <w:rFonts w:hint="eastAsia" w:ascii="楷体" w:hAnsi="楷体" w:eastAsia="楷体" w:cs="楷体"/>
          <w:b w:val="0"/>
          <w:bCs w:val="0"/>
          <w:snapToGrid w:val="0"/>
          <w:color w:val="000000" w:themeColor="text1"/>
          <w:kern w:val="0"/>
          <w:sz w:val="32"/>
          <w:szCs w:val="32"/>
          <w:lang w:val="en-US" w:eastAsia="zh-CN" w:bidi="ar-SA"/>
          <w14:textFill>
            <w14:solidFill>
              <w14:schemeClr w14:val="tx1"/>
            </w14:solidFill>
          </w14:textFill>
        </w:rPr>
        <w:t>（一）提高政治站位，树牢安全发展理念</w:t>
      </w:r>
      <w:bookmarkEnd w:id="65"/>
    </w:p>
    <w:p w14:paraId="78330F76">
      <w:pPr>
        <w:pStyle w:val="9"/>
        <w:keepNext w:val="0"/>
        <w:keepLines w:val="0"/>
        <w:pageBreakBefore w:val="0"/>
        <w:widowControl/>
        <w:kinsoku/>
        <w:wordWrap/>
        <w:overflowPunct/>
        <w:topLinePunct w:val="0"/>
        <w:autoSpaceDE/>
        <w:autoSpaceDN/>
        <w:bidi w:val="0"/>
        <w:adjustRightInd w:val="0"/>
        <w:snapToGrid w:val="0"/>
        <w:spacing w:beforeLines="0" w:afterLines="0" w:line="580" w:lineRule="exact"/>
        <w:ind w:left="0" w:right="0" w:firstLine="640" w:firstLineChars="200"/>
        <w:jc w:val="both"/>
        <w:textAlignment w:val="baseline"/>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各地、各有关部门要认真贯彻落实习近平总书记关于安全生产重要论述，坚持人民至上、生命至上，牢固树立安全发展理念，统筹发展和安全</w:t>
      </w:r>
      <w:r>
        <w:rPr>
          <w:rStyle w:val="18"/>
          <w:rFonts w:hint="eastAsia" w:ascii="仿宋_GB2312" w:hAnsi="仿宋_GB2312" w:eastAsia="仿宋_GB2312" w:cs="Times New Roman"/>
          <w:spacing w:val="-20"/>
          <w:sz w:val="32"/>
          <w:szCs w:val="32"/>
          <w:lang w:val="en-US" w:eastAsia="zh-CN"/>
        </w:rPr>
        <w:t>。要</w:t>
      </w:r>
      <w:r>
        <w:rPr>
          <w:rStyle w:val="18"/>
          <w:rFonts w:hint="eastAsia" w:ascii="仿宋_GB2312" w:hAnsi="仿宋_GB2312" w:eastAsia="仿宋_GB2312" w:cs="Times New Roman"/>
          <w:spacing w:val="0"/>
          <w:sz w:val="32"/>
          <w:szCs w:val="32"/>
        </w:rPr>
        <w:t>深刻汲取事故教训</w:t>
      </w:r>
      <w:r>
        <w:rPr>
          <w:rStyle w:val="18"/>
          <w:rFonts w:hint="eastAsia" w:ascii="仿宋_GB2312" w:hAnsi="仿宋_GB2312" w:eastAsia="仿宋_GB2312" w:cs="Times New Roman"/>
          <w:sz w:val="32"/>
          <w:szCs w:val="32"/>
        </w:rPr>
        <w:t>，</w:t>
      </w:r>
      <w:r>
        <w:rPr>
          <w:rStyle w:val="18"/>
          <w:rFonts w:hint="eastAsia" w:ascii="仿宋_GB2312" w:hAnsi="仿宋_GB2312" w:eastAsia="仿宋_GB2312" w:cs="Times New Roman"/>
          <w:sz w:val="32"/>
          <w:szCs w:val="32"/>
          <w:lang w:eastAsia="zh-CN"/>
        </w:rPr>
        <w:t>扎实推进矿山安全生产治本攻坚三年行动</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，强化矿山安全生产主体责任落实，加强矿山企业从业人员安全教育培训严防“三违”，强化安全风险研判、隐患排查治理和“打非治违”，及时消除矿山重大风险隐患，</w:t>
      </w:r>
      <w:r>
        <w:rPr>
          <w:rStyle w:val="18"/>
          <w:rFonts w:hint="eastAsia" w:ascii="仿宋_GB2312" w:hAnsi="仿宋_GB2312" w:eastAsia="仿宋_GB2312" w:cs="Times New Roman"/>
          <w:sz w:val="32"/>
          <w:szCs w:val="32"/>
        </w:rPr>
        <w:t>确保矿山领域安全稳定。</w:t>
      </w:r>
    </w:p>
    <w:p w14:paraId="16309D57">
      <w:pPr>
        <w:pStyle w:val="2"/>
        <w:numPr>
          <w:ilvl w:val="-1"/>
          <w:numId w:val="0"/>
        </w:numPr>
        <w:kinsoku/>
        <w:adjustRightInd w:val="0"/>
        <w:snapToGrid w:val="0"/>
        <w:spacing w:before="0" w:beforeLines="0" w:after="0" w:afterLines="0" w:line="580" w:lineRule="exact"/>
        <w:ind w:left="0" w:leftChars="0" w:firstLine="640" w:firstLineChars="200"/>
        <w:jc w:val="both"/>
        <w:rPr>
          <w:rFonts w:hint="eastAsia" w:ascii="楷体" w:hAnsi="楷体" w:eastAsia="楷体" w:cs="楷体"/>
          <w:color w:val="000000" w:themeColor="text1"/>
          <w:sz w:val="32"/>
          <w:szCs w:val="32"/>
          <w:lang w:eastAsia="zh-CN"/>
          <w14:textFill>
            <w14:solidFill>
              <w14:schemeClr w14:val="tx1"/>
            </w14:solidFill>
          </w14:textFill>
        </w:rPr>
      </w:pPr>
      <w:bookmarkStart w:id="66" w:name="_Toc2110811489_WPSOffice_Level2"/>
      <w:r>
        <w:rPr>
          <w:rFonts w:hint="eastAsia" w:ascii="楷体" w:hAnsi="楷体" w:eastAsia="楷体" w:cs="楷体"/>
          <w:b w:val="0"/>
          <w:bCs w:val="0"/>
          <w:snapToGrid w:val="0"/>
          <w:color w:val="000000" w:themeColor="text1"/>
          <w:kern w:val="0"/>
          <w:sz w:val="32"/>
          <w:szCs w:val="32"/>
          <w:lang w:val="en-US" w:eastAsia="zh-CN" w:bidi="ar-SA"/>
          <w14:textFill>
            <w14:solidFill>
              <w14:schemeClr w14:val="tx1"/>
            </w14:solidFill>
          </w14:textFill>
        </w:rPr>
        <w:t>（二）</w:t>
      </w:r>
      <w:r>
        <w:rPr>
          <w:rFonts w:hint="eastAsia" w:ascii="楷体" w:hAnsi="楷体" w:eastAsia="楷体" w:cs="楷体"/>
          <w:snapToGrid w:val="0"/>
          <w:color w:val="000000" w:themeColor="text1"/>
          <w:kern w:val="0"/>
          <w:sz w:val="32"/>
          <w:szCs w:val="32"/>
          <w:lang w:eastAsia="zh-CN"/>
          <w14:textFill>
            <w14:solidFill>
              <w14:schemeClr w14:val="tx1"/>
            </w14:solidFill>
          </w14:textFill>
        </w:rPr>
        <w:t>开展</w:t>
      </w:r>
      <w:r>
        <w:rPr>
          <w:rFonts w:hint="eastAsia" w:ascii="楷体" w:hAnsi="楷体" w:eastAsia="楷体" w:cs="楷体"/>
          <w:color w:val="000000" w:themeColor="text1"/>
          <w:sz w:val="32"/>
          <w:szCs w:val="32"/>
          <w:lang w:eastAsia="zh-CN"/>
          <w14:textFill>
            <w14:solidFill>
              <w14:schemeClr w14:val="tx1"/>
            </w14:solidFill>
          </w14:textFill>
        </w:rPr>
        <w:t>隐患</w:t>
      </w:r>
      <w:r>
        <w:rPr>
          <w:rStyle w:val="16"/>
          <w:rFonts w:hint="eastAsia" w:ascii="楷体" w:hAnsi="楷体" w:eastAsia="楷体" w:cs="楷体"/>
          <w:color w:val="000000" w:themeColor="text1"/>
          <w:sz w:val="32"/>
          <w:szCs w:val="32"/>
          <w:lang w:eastAsia="zh-CN"/>
          <w14:textFill>
            <w14:solidFill>
              <w14:schemeClr w14:val="tx1"/>
            </w14:solidFill>
          </w14:textFill>
        </w:rPr>
        <w:t>排查</w:t>
      </w:r>
      <w:r>
        <w:rPr>
          <w:rStyle w:val="18"/>
          <w:rFonts w:hint="eastAsia" w:ascii="楷体_GB2312" w:hAnsi="楷体_GB2312" w:eastAsia="楷体_GB2312" w:cs="楷体_GB2312"/>
          <w:sz w:val="32"/>
          <w:szCs w:val="32"/>
          <w:lang w:eastAsia="zh-CN" w:bidi="ar-SA"/>
        </w:rPr>
        <w:t>集中</w:t>
      </w:r>
      <w:r>
        <w:rPr>
          <w:rStyle w:val="18"/>
          <w:rFonts w:hint="eastAsia" w:ascii="楷体_GB2312" w:hAnsi="楷体_GB2312" w:eastAsia="楷体_GB2312" w:cs="楷体_GB2312"/>
          <w:sz w:val="32"/>
          <w:szCs w:val="32"/>
          <w:lang w:bidi="ar-SA"/>
        </w:rPr>
        <w:t>整治</w:t>
      </w:r>
      <w:r>
        <w:rPr>
          <w:rStyle w:val="18"/>
          <w:rFonts w:hint="eastAsia" w:ascii="楷体_GB2312" w:hAnsi="楷体_GB2312" w:eastAsia="楷体_GB2312" w:cs="楷体_GB2312"/>
          <w:sz w:val="32"/>
          <w:szCs w:val="32"/>
          <w:lang w:eastAsia="zh-CN" w:bidi="ar-SA"/>
        </w:rPr>
        <w:t>行动</w:t>
      </w:r>
      <w:r>
        <w:rPr>
          <w:rStyle w:val="16"/>
          <w:rFonts w:hint="eastAsia" w:ascii="楷体" w:hAnsi="楷体" w:eastAsia="楷体" w:cs="楷体"/>
          <w:color w:val="000000" w:themeColor="text1"/>
          <w:sz w:val="32"/>
          <w:szCs w:val="32"/>
          <w:lang w:eastAsia="zh-CN"/>
          <w14:textFill>
            <w14:solidFill>
              <w14:schemeClr w14:val="tx1"/>
            </w14:solidFill>
          </w14:textFill>
        </w:rPr>
        <w:t>，</w:t>
      </w:r>
      <w:r>
        <w:rPr>
          <w:rFonts w:hint="eastAsia" w:ascii="楷体" w:hAnsi="楷体" w:eastAsia="楷体" w:cs="楷体"/>
          <w:color w:val="000000" w:themeColor="text1"/>
          <w:sz w:val="32"/>
          <w:szCs w:val="32"/>
          <w:lang w:eastAsia="zh-CN"/>
          <w14:textFill>
            <w14:solidFill>
              <w14:schemeClr w14:val="tx1"/>
            </w14:solidFill>
          </w14:textFill>
        </w:rPr>
        <w:t>切实</w:t>
      </w:r>
      <w:r>
        <w:rPr>
          <w:rStyle w:val="16"/>
          <w:rFonts w:hint="eastAsia" w:ascii="楷体" w:hAnsi="楷体" w:eastAsia="楷体" w:cs="楷体"/>
          <w:color w:val="000000" w:themeColor="text1"/>
          <w:sz w:val="32"/>
          <w:szCs w:val="32"/>
          <w:lang w:eastAsia="zh-CN"/>
          <w14:textFill>
            <w14:solidFill>
              <w14:schemeClr w14:val="tx1"/>
            </w14:solidFill>
          </w14:textFill>
        </w:rPr>
        <w:t>消除安全隐患</w:t>
      </w:r>
      <w:bookmarkEnd w:id="66"/>
    </w:p>
    <w:p w14:paraId="49BBA549">
      <w:pPr>
        <w:pStyle w:val="2"/>
        <w:numPr>
          <w:ilvl w:val="-1"/>
          <w:numId w:val="0"/>
        </w:numPr>
        <w:kinsoku/>
        <w:adjustRightInd w:val="0"/>
        <w:snapToGrid w:val="0"/>
        <w:spacing w:before="0" w:beforeLines="0" w:after="0" w:afterLines="0" w:line="580" w:lineRule="exact"/>
        <w:ind w:left="0" w:leftChars="0" w:firstLine="640" w:firstLineChars="200"/>
        <w:jc w:val="both"/>
        <w:rPr>
          <w:rStyle w:val="18"/>
          <w:rFonts w:hint="eastAsia" w:ascii="仿宋_GB2312" w:hAnsi="仿宋_GB2312" w:eastAsia="仿宋_GB2312" w:cs="Times New Roman"/>
          <w:sz w:val="32"/>
          <w:szCs w:val="32"/>
          <w:lang w:bidi="ar-SA"/>
        </w:rPr>
      </w:pP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各地、各有关部门</w:t>
      </w:r>
      <w:bookmarkStart w:id="67" w:name="_Toc2018788809_WPSOffice_Level1"/>
      <w:bookmarkStart w:id="68" w:name="_Toc652906439_WPSOffice_Level1"/>
      <w:r>
        <w:rPr>
          <w:rStyle w:val="18"/>
          <w:rFonts w:hint="eastAsia" w:ascii="仿宋_GB2312" w:hAnsi="仿宋_GB2312" w:eastAsia="仿宋_GB2312" w:cs="Times New Roman"/>
          <w:sz w:val="32"/>
          <w:szCs w:val="32"/>
          <w:lang w:bidi="ar-SA"/>
        </w:rPr>
        <w:t>要对</w:t>
      </w:r>
      <w:r>
        <w:rPr>
          <w:rStyle w:val="18"/>
          <w:rFonts w:hint="eastAsia" w:ascii="仿宋_GB2312" w:hAnsi="仿宋_GB2312" w:eastAsia="仿宋_GB2312" w:cs="Times New Roman"/>
          <w:sz w:val="32"/>
          <w:szCs w:val="32"/>
          <w:lang w:eastAsia="zh-CN" w:bidi="ar-SA"/>
        </w:rPr>
        <w:t>辖区内所有在产在建</w:t>
      </w:r>
      <w:r>
        <w:rPr>
          <w:rStyle w:val="18"/>
          <w:rFonts w:hint="eastAsia" w:ascii="仿宋_GB2312" w:hAnsi="仿宋_GB2312" w:eastAsia="仿宋_GB2312" w:cs="Times New Roman"/>
          <w:sz w:val="32"/>
          <w:szCs w:val="32"/>
          <w:lang w:bidi="ar-SA"/>
        </w:rPr>
        <w:t>矿山企业开展安全隐患</w:t>
      </w:r>
      <w:r>
        <w:rPr>
          <w:rStyle w:val="18"/>
          <w:rFonts w:hint="eastAsia" w:ascii="仿宋_GB2312" w:hAnsi="仿宋_GB2312" w:eastAsia="仿宋_GB2312" w:cs="Times New Roman"/>
          <w:sz w:val="32"/>
          <w:szCs w:val="32"/>
          <w:lang w:eastAsia="zh-CN" w:bidi="ar-SA"/>
        </w:rPr>
        <w:t>全面</w:t>
      </w:r>
      <w:r>
        <w:rPr>
          <w:rStyle w:val="18"/>
          <w:rFonts w:hint="eastAsia" w:ascii="仿宋_GB2312" w:hAnsi="仿宋_GB2312" w:eastAsia="仿宋_GB2312" w:cs="Times New Roman"/>
          <w:sz w:val="32"/>
          <w:szCs w:val="32"/>
          <w:lang w:bidi="ar-SA"/>
        </w:rPr>
        <w:t>排查</w:t>
      </w:r>
      <w:r>
        <w:rPr>
          <w:rStyle w:val="18"/>
          <w:rFonts w:hint="eastAsia" w:ascii="仿宋_GB2312" w:hAnsi="仿宋_GB2312" w:eastAsia="仿宋_GB2312" w:cs="Times New Roman"/>
          <w:sz w:val="32"/>
          <w:szCs w:val="32"/>
          <w:lang w:eastAsia="zh-CN" w:bidi="ar-SA"/>
        </w:rPr>
        <w:t>集中</w:t>
      </w:r>
      <w:r>
        <w:rPr>
          <w:rStyle w:val="18"/>
          <w:rFonts w:hint="eastAsia" w:ascii="仿宋_GB2312" w:hAnsi="仿宋_GB2312" w:eastAsia="仿宋_GB2312" w:cs="Times New Roman"/>
          <w:sz w:val="32"/>
          <w:szCs w:val="32"/>
          <w:lang w:bidi="ar-SA"/>
        </w:rPr>
        <w:t>整治</w:t>
      </w:r>
      <w:r>
        <w:rPr>
          <w:rStyle w:val="18"/>
          <w:rFonts w:hint="eastAsia" w:ascii="仿宋_GB2312" w:hAnsi="仿宋_GB2312" w:eastAsia="仿宋_GB2312" w:cs="Times New Roman"/>
          <w:sz w:val="32"/>
          <w:szCs w:val="32"/>
          <w:lang w:eastAsia="zh-CN" w:bidi="ar-SA"/>
        </w:rPr>
        <w:t>行动</w:t>
      </w:r>
      <w:r>
        <w:rPr>
          <w:rStyle w:val="18"/>
          <w:rFonts w:hint="eastAsia" w:ascii="仿宋_GB2312" w:hAnsi="仿宋_GB2312" w:eastAsia="仿宋_GB2312" w:cs="Times New Roman"/>
          <w:sz w:val="32"/>
          <w:szCs w:val="32"/>
          <w:lang w:bidi="ar-SA"/>
        </w:rPr>
        <w:t>。</w:t>
      </w:r>
      <w:r>
        <w:rPr>
          <w:rStyle w:val="18"/>
          <w:rFonts w:hint="eastAsia" w:ascii="仿宋_GB2312" w:hAnsi="仿宋_GB2312" w:eastAsia="仿宋_GB2312" w:cs="Times New Roman"/>
          <w:sz w:val="32"/>
          <w:szCs w:val="32"/>
          <w:lang w:eastAsia="zh-CN" w:bidi="ar-SA"/>
        </w:rPr>
        <w:t>特别是地下矿山要</w:t>
      </w:r>
      <w:r>
        <w:rPr>
          <w:rStyle w:val="18"/>
          <w:rFonts w:hint="eastAsia" w:ascii="仿宋_GB2312" w:hAnsi="仿宋_GB2312" w:eastAsia="仿宋_GB2312" w:cs="Times New Roman"/>
          <w:sz w:val="32"/>
          <w:szCs w:val="32"/>
          <w:lang w:bidi="ar-SA"/>
        </w:rPr>
        <w:t>开展隐蔽致灾因素普查工作</w:t>
      </w:r>
      <w:r>
        <w:rPr>
          <w:rStyle w:val="18"/>
          <w:rFonts w:hint="eastAsia" w:ascii="仿宋_GB2312" w:hAnsi="仿宋_GB2312" w:eastAsia="仿宋_GB2312" w:cs="Times New Roman"/>
          <w:sz w:val="32"/>
          <w:szCs w:val="32"/>
          <w:lang w:eastAsia="zh-CN" w:bidi="ar-SA"/>
        </w:rPr>
        <w:t>，配齐</w:t>
      </w:r>
      <w:r>
        <w:rPr>
          <w:rStyle w:val="18"/>
          <w:rFonts w:hint="eastAsia" w:ascii="仿宋_GB2312" w:hAnsi="仿宋_GB2312" w:eastAsia="仿宋_GB2312" w:cs="Times New Roman"/>
          <w:sz w:val="32"/>
          <w:szCs w:val="32"/>
          <w:lang w:bidi="ar-SA"/>
        </w:rPr>
        <w:t>“五职矿长”、专业技术人员和安全管理人员。</w:t>
      </w:r>
      <w:r>
        <w:rPr>
          <w:rFonts w:hint="eastAsia" w:ascii="宋体" w:hAnsi="宋体" w:eastAsia="仿宋_GB2312" w:cs="仿宋_GB2312"/>
          <w:color w:val="auto"/>
          <w:sz w:val="32"/>
          <w:szCs w:val="32"/>
        </w:rPr>
        <w:t>生产经营单位新上岗的从业人员</w:t>
      </w:r>
      <w:r>
        <w:rPr>
          <w:rFonts w:hint="eastAsia" w:ascii="宋体" w:hAnsi="宋体" w:eastAsia="仿宋_GB2312" w:cs="仿宋_GB2312"/>
          <w:color w:val="auto"/>
          <w:sz w:val="32"/>
          <w:szCs w:val="32"/>
          <w:lang w:val="en-US" w:eastAsia="zh-CN"/>
        </w:rPr>
        <w:t>（含劳务派遣、实习生）上岗前必须经过72学时以上安全培训，做到</w:t>
      </w:r>
      <w:r>
        <w:rPr>
          <w:rFonts w:hint="eastAsia" w:ascii="宋体" w:hAnsi="宋体" w:eastAsia="仿宋_GB2312" w:cs="仿宋_GB2312"/>
          <w:color w:val="auto"/>
          <w:sz w:val="32"/>
          <w:szCs w:val="32"/>
        </w:rPr>
        <w:t>熟悉安全生产规章制度和安全操作规程，</w:t>
      </w:r>
      <w:r>
        <w:rPr>
          <w:rFonts w:hint="eastAsia" w:ascii="宋体" w:hAnsi="宋体" w:eastAsia="仿宋_GB2312" w:cs="仿宋_GB2312"/>
          <w:color w:val="auto"/>
          <w:sz w:val="32"/>
          <w:szCs w:val="32"/>
          <w:lang w:eastAsia="zh-CN"/>
        </w:rPr>
        <w:t>切实</w:t>
      </w:r>
      <w:r>
        <w:rPr>
          <w:rFonts w:hint="eastAsia" w:ascii="宋体" w:hAnsi="宋体" w:eastAsia="仿宋_GB2312" w:cs="仿宋_GB2312"/>
          <w:color w:val="auto"/>
          <w:sz w:val="32"/>
          <w:szCs w:val="32"/>
        </w:rPr>
        <w:t>掌握本岗位的安全操作技能</w:t>
      </w:r>
      <w:r>
        <w:rPr>
          <w:rFonts w:hint="eastAsia" w:ascii="宋体" w:hAnsi="宋体" w:eastAsia="仿宋_GB2312" w:cs="仿宋_GB2312"/>
          <w:color w:val="auto"/>
          <w:sz w:val="32"/>
          <w:szCs w:val="32"/>
          <w:lang w:eastAsia="zh-CN"/>
        </w:rPr>
        <w:t>和</w:t>
      </w:r>
      <w:r>
        <w:rPr>
          <w:rFonts w:hint="eastAsia" w:ascii="宋体" w:hAnsi="宋体" w:eastAsia="仿宋_GB2312" w:cs="仿宋_GB2312"/>
          <w:color w:val="auto"/>
          <w:sz w:val="32"/>
          <w:szCs w:val="32"/>
        </w:rPr>
        <w:t>应急处理措施，</w:t>
      </w:r>
      <w:r>
        <w:rPr>
          <w:rFonts w:hint="eastAsia" w:ascii="宋体" w:hAnsi="宋体" w:eastAsia="仿宋_GB2312" w:cs="仿宋_GB2312"/>
          <w:color w:val="auto"/>
          <w:sz w:val="32"/>
          <w:szCs w:val="32"/>
          <w:lang w:eastAsia="zh-CN"/>
        </w:rPr>
        <w:t>并</w:t>
      </w:r>
      <w:r>
        <w:rPr>
          <w:rFonts w:hint="eastAsia" w:ascii="宋体" w:hAnsi="宋体" w:eastAsia="仿宋_GB2312" w:cs="仿宋_GB2312"/>
          <w:color w:val="auto"/>
          <w:sz w:val="32"/>
          <w:szCs w:val="32"/>
          <w:lang w:val="en-US" w:eastAsia="zh-CN"/>
        </w:rPr>
        <w:t>考核合格后方可上岗。同时，要对</w:t>
      </w:r>
      <w:r>
        <w:rPr>
          <w:rFonts w:hint="eastAsia" w:ascii="仿宋_GB2312" w:hAnsi="仿宋_GB2312" w:eastAsia="仿宋_GB2312" w:cs="仿宋_GB2312"/>
          <w:sz w:val="32"/>
          <w:szCs w:val="32"/>
          <w:lang w:val="en-US" w:eastAsia="zh-CN"/>
        </w:rPr>
        <w:t>工程质量验收严格把关，</w:t>
      </w:r>
      <w:r>
        <w:rPr>
          <w:rStyle w:val="18"/>
          <w:rFonts w:hint="eastAsia" w:ascii="仿宋_GB2312" w:hAnsi="仿宋_GB2312" w:eastAsia="仿宋_GB2312" w:cs="Times New Roman"/>
          <w:sz w:val="32"/>
          <w:szCs w:val="32"/>
          <w:lang w:bidi="ar-SA"/>
        </w:rPr>
        <w:t>确保消除安全隐患。</w:t>
      </w:r>
    </w:p>
    <w:p w14:paraId="08DB6087">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楷体" w:hAnsi="楷体" w:eastAsia="楷体" w:cs="楷体"/>
          <w:b w:val="0"/>
          <w:bCs w:val="0"/>
          <w:snapToGrid w:val="0"/>
          <w:color w:val="000000" w:themeColor="text1"/>
          <w:kern w:val="0"/>
          <w:sz w:val="32"/>
          <w:szCs w:val="32"/>
          <w:lang w:val="en-US" w:eastAsia="zh-CN" w:bidi="ar-SA"/>
          <w14:textFill>
            <w14:solidFill>
              <w14:schemeClr w14:val="tx1"/>
            </w14:solidFill>
          </w14:textFill>
        </w:rPr>
      </w:pPr>
      <w:bookmarkStart w:id="69" w:name="_Toc236367516_WPSOffice_Level2"/>
      <w:r>
        <w:rPr>
          <w:rFonts w:hint="eastAsia" w:ascii="楷体" w:hAnsi="楷体" w:eastAsia="楷体" w:cs="楷体"/>
          <w:b w:val="0"/>
          <w:bCs w:val="0"/>
          <w:snapToGrid w:val="0"/>
          <w:color w:val="000000" w:themeColor="text1"/>
          <w:kern w:val="0"/>
          <w:sz w:val="32"/>
          <w:szCs w:val="32"/>
          <w:lang w:val="en-US" w:eastAsia="zh-CN" w:bidi="ar-SA"/>
          <w14:textFill>
            <w14:solidFill>
              <w14:schemeClr w14:val="tx1"/>
            </w14:solidFill>
          </w14:textFill>
        </w:rPr>
        <w:t>（三）</w:t>
      </w:r>
      <w:r>
        <w:rPr>
          <w:rFonts w:hint="eastAsia" w:ascii="楷体" w:hAnsi="楷体" w:eastAsia="楷体" w:cs="楷体"/>
          <w:color w:val="000000" w:themeColor="text1"/>
          <w:sz w:val="32"/>
          <w:szCs w:val="32"/>
          <w:lang w:eastAsia="zh-CN"/>
          <w14:textFill>
            <w14:solidFill>
              <w14:schemeClr w14:val="tx1"/>
            </w14:solidFill>
          </w14:textFill>
        </w:rPr>
        <w:t>严格监管执法，保持打非治违高压态势</w:t>
      </w:r>
      <w:bookmarkEnd w:id="67"/>
      <w:bookmarkEnd w:id="68"/>
      <w:bookmarkEnd w:id="69"/>
    </w:p>
    <w:p w14:paraId="1E78669B">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pP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各地、各有关部门要督促矿山企业</w:t>
      </w:r>
      <w:r>
        <w:rPr>
          <w:rFonts w:hint="eastAsia" w:ascii="宋体" w:hAnsi="宋体" w:eastAsia="仿宋_GB2312" w:cs="仿宋_GB2312"/>
          <w:i w:val="0"/>
          <w:iCs w:val="0"/>
          <w:color w:val="auto"/>
          <w:kern w:val="2"/>
          <w:sz w:val="32"/>
          <w:szCs w:val="32"/>
          <w:u w:val="none"/>
          <w:lang w:val="en-US" w:eastAsia="zh-CN" w:bidi="ar"/>
        </w:rPr>
        <w:t>在企业入口处、生产车间门口或其他醒目位置张贴相关行业领域的《重大事故隐患判定标准》，并公示县级监管部门和企业内部举报电话。</w:t>
      </w:r>
      <w:r>
        <w:rPr>
          <w:rFonts w:hint="eastAsia" w:ascii="仿宋_GB2312" w:hAnsi="仿宋_GB2312" w:eastAsia="仿宋_GB2312" w:cs="仿宋_GB2312"/>
          <w:b w:val="0"/>
          <w:bCs w:val="0"/>
          <w:snapToGrid w:val="0"/>
          <w:color w:val="000000" w:themeColor="text1"/>
          <w:kern w:val="0"/>
          <w:sz w:val="32"/>
          <w:szCs w:val="32"/>
          <w:lang w:val="en-US" w:eastAsia="zh-CN" w:bidi="ar-SA"/>
          <w14:textFill>
            <w14:solidFill>
              <w14:schemeClr w14:val="tx1"/>
            </w14:solidFill>
          </w14:textFill>
        </w:rPr>
        <w:t>要强化监管执法力度，严厉打击未批先建、违反设计要求组织生产建设等违法违规生产建设行为。要认真落实金属非金属矿山“打非治违”工作职责，建立完善部门间协调沟通机制，持续保持“打非治违”高压态势，严防事故发生。</w:t>
      </w:r>
    </w:p>
    <w:p w14:paraId="3663BA7D">
      <w:pPr>
        <w:pStyle w:val="6"/>
        <w:keepNext w:val="0"/>
        <w:keepLines w:val="0"/>
        <w:pageBreakBefore w:val="0"/>
        <w:widowControl/>
        <w:numPr>
          <w:ilvl w:val="-1"/>
          <w:numId w:val="0"/>
        </w:numPr>
        <w:tabs>
          <w:tab w:val="left" w:pos="5184"/>
        </w:tabs>
        <w:kinsoku/>
        <w:wordWrap/>
        <w:overflowPunct/>
        <w:topLinePunct w:val="0"/>
        <w:autoSpaceDE/>
        <w:autoSpaceDN/>
        <w:bidi w:val="0"/>
        <w:adjustRightInd/>
        <w:snapToGrid/>
        <w:spacing w:beforeLines="0" w:after="0" w:afterLines="0" w:line="560" w:lineRule="exact"/>
        <w:ind w:left="0" w:leftChars="0" w:right="0" w:rightChars="0" w:firstLine="640" w:firstLineChars="200"/>
        <w:jc w:val="both"/>
        <w:textAlignment w:val="auto"/>
        <w:outlineLvl w:val="1"/>
        <w:rPr>
          <w:rStyle w:val="16"/>
          <w:rFonts w:hint="eastAsia" w:ascii="楷体" w:hAnsi="楷体" w:eastAsia="楷体" w:cs="楷体"/>
          <w:b w:val="0"/>
          <w:bCs w:val="0"/>
          <w:color w:val="000000" w:themeColor="text1"/>
          <w:sz w:val="32"/>
          <w:szCs w:val="32"/>
          <w:lang w:eastAsia="zh-CN" w:bidi="ar-SA"/>
          <w14:textFill>
            <w14:solidFill>
              <w14:schemeClr w14:val="tx1"/>
            </w14:solidFill>
          </w14:textFill>
        </w:rPr>
      </w:pPr>
      <w:bookmarkStart w:id="70" w:name="_Toc2137996214_WPSOffice_Level2"/>
      <w:r>
        <w:rPr>
          <w:rFonts w:hint="eastAsia" w:ascii="楷体" w:hAnsi="楷体" w:eastAsia="楷体" w:cs="楷体"/>
          <w:b w:val="0"/>
          <w:bCs w:val="0"/>
          <w:snapToGrid w:val="0"/>
          <w:color w:val="000000" w:themeColor="text1"/>
          <w:kern w:val="0"/>
          <w:sz w:val="32"/>
          <w:szCs w:val="32"/>
          <w:lang w:val="en-US" w:eastAsia="zh-CN" w:bidi="ar-SA"/>
          <w14:textFill>
            <w14:solidFill>
              <w14:schemeClr w14:val="tx1"/>
            </w14:solidFill>
          </w14:textFill>
        </w:rPr>
        <w:t>（四）</w:t>
      </w:r>
      <w:r>
        <w:rPr>
          <w:rStyle w:val="16"/>
          <w:rFonts w:hint="eastAsia" w:ascii="楷体" w:hAnsi="楷体" w:eastAsia="楷体" w:cs="楷体"/>
          <w:b w:val="0"/>
          <w:bCs w:val="0"/>
          <w:color w:val="000000" w:themeColor="text1"/>
          <w:sz w:val="32"/>
          <w:szCs w:val="32"/>
          <w:lang w:eastAsia="zh-CN" w:bidi="ar-SA"/>
          <w14:textFill>
            <w14:solidFill>
              <w14:schemeClr w14:val="tx1"/>
            </w14:solidFill>
          </w14:textFill>
        </w:rPr>
        <w:t>严把复工复产关，确保安全有序复产</w:t>
      </w:r>
      <w:bookmarkEnd w:id="70"/>
    </w:p>
    <w:p w14:paraId="2520BD2D">
      <w:pPr>
        <w:pStyle w:val="6"/>
        <w:keepNext w:val="0"/>
        <w:keepLines w:val="0"/>
        <w:pageBreakBefore w:val="0"/>
        <w:widowControl/>
        <w:numPr>
          <w:ilvl w:val="-1"/>
          <w:numId w:val="0"/>
        </w:numPr>
        <w:tabs>
          <w:tab w:val="left" w:pos="5184"/>
        </w:tabs>
        <w:kinsoku/>
        <w:wordWrap/>
        <w:overflowPunct/>
        <w:topLinePunct w:val="0"/>
        <w:autoSpaceDE/>
        <w:autoSpaceDN/>
        <w:bidi w:val="0"/>
        <w:adjustRightInd/>
        <w:snapToGrid/>
        <w:spacing w:beforeLines="0" w:after="0" w:afterLines="0" w:line="560" w:lineRule="exact"/>
        <w:ind w:left="0" w:leftChars="0" w:right="0" w:rightChars="0" w:firstLine="640" w:firstLineChars="200"/>
        <w:jc w:val="both"/>
        <w:textAlignment w:val="auto"/>
        <w:outlineLvl w:val="1"/>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pPr>
      <w:r>
        <w:rPr>
          <w:rStyle w:val="16"/>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各地要严格矿山复产复工管理，督促辖区企业切实加强全员安全培训教育、风险辨识管控、隐患排查治理等工作；要对照复工复产方案和安全生产标准，逐一进行检查核实，对不符合安全生产条件、达不到复工复产要求的矿山，一律不得批准复工复产</w:t>
      </w:r>
      <w:r>
        <w:rPr>
          <w:rStyle w:val="16"/>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w:t>
      </w:r>
      <w:r>
        <w:rPr>
          <w:rStyle w:val="16"/>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各地要对已复工复产的企业加大抽查检查力度，对不符合要求的要责令进行整改，直至验收合格后方可恢复生产。</w:t>
      </w:r>
    </w:p>
    <w:p w14:paraId="49DFEBE6">
      <w:pPr>
        <w:pStyle w:val="9"/>
        <w:keepNext w:val="0"/>
        <w:keepLines w:val="0"/>
        <w:pageBreakBefore w:val="0"/>
        <w:widowControl/>
        <w:kinsoku/>
        <w:wordWrap/>
        <w:overflowPunct/>
        <w:topLinePunct w:val="0"/>
        <w:autoSpaceDE/>
        <w:autoSpaceDN/>
        <w:bidi w:val="0"/>
        <w:adjustRightInd w:val="0"/>
        <w:snapToGrid w:val="0"/>
        <w:spacing w:beforeLines="0" w:afterLines="0" w:line="560" w:lineRule="exact"/>
        <w:ind w:left="0" w:right="13" w:firstLine="0"/>
        <w:jc w:val="both"/>
        <w:textAlignment w:val="baseline"/>
        <w:rPr>
          <w:rFonts w:hint="eastAsia"/>
          <w:b w:val="0"/>
          <w:bCs w:val="0"/>
          <w:color w:val="000000" w:themeColor="text1"/>
          <w:spacing w:val="8"/>
          <w:sz w:val="32"/>
          <w:szCs w:val="32"/>
          <w:lang w:eastAsia="zh-CN"/>
          <w14:textFill>
            <w14:solidFill>
              <w14:schemeClr w14:val="tx1"/>
            </w14:solidFill>
          </w14:textFill>
        </w:rPr>
      </w:pPr>
    </w:p>
    <w:p w14:paraId="291F2BC9">
      <w:pPr>
        <w:pStyle w:val="9"/>
        <w:keepNext w:val="0"/>
        <w:keepLines w:val="0"/>
        <w:pageBreakBefore w:val="0"/>
        <w:widowControl/>
        <w:kinsoku/>
        <w:wordWrap/>
        <w:overflowPunct/>
        <w:topLinePunct w:val="0"/>
        <w:autoSpaceDE/>
        <w:autoSpaceDN/>
        <w:bidi w:val="0"/>
        <w:adjustRightInd w:val="0"/>
        <w:snapToGrid w:val="0"/>
        <w:spacing w:beforeLines="0" w:afterLines="0" w:line="560" w:lineRule="exact"/>
        <w:ind w:left="674" w:leftChars="321" w:right="13" w:firstLine="1612" w:firstLineChars="504"/>
        <w:jc w:val="both"/>
        <w:textAlignment w:val="baseline"/>
        <w:outlineLvl w:val="0"/>
        <w:rPr>
          <w:rFonts w:hint="eastAsia" w:ascii="仿宋_GB2312" w:hAnsi="仿宋_GB2312" w:eastAsia="仿宋_GB2312" w:cs="仿宋_GB2312"/>
          <w:b w:val="0"/>
          <w:bCs w:val="0"/>
          <w:color w:val="000000" w:themeColor="text1"/>
          <w:spacing w:val="0"/>
          <w:sz w:val="32"/>
          <w:szCs w:val="32"/>
          <w:lang w:eastAsia="zh-CN"/>
          <w14:textFill>
            <w14:solidFill>
              <w14:schemeClr w14:val="tx1"/>
            </w14:solidFill>
          </w14:textFill>
        </w:rPr>
      </w:pPr>
    </w:p>
    <w:p w14:paraId="4AA9675C">
      <w:pPr>
        <w:pStyle w:val="9"/>
        <w:keepNext w:val="0"/>
        <w:keepLines w:val="0"/>
        <w:pageBreakBefore w:val="0"/>
        <w:widowControl/>
        <w:kinsoku/>
        <w:wordWrap/>
        <w:overflowPunct/>
        <w:topLinePunct w:val="0"/>
        <w:autoSpaceDE/>
        <w:autoSpaceDN/>
        <w:bidi w:val="0"/>
        <w:adjustRightInd w:val="0"/>
        <w:snapToGrid w:val="0"/>
        <w:spacing w:beforeLines="0" w:afterLines="0" w:line="560" w:lineRule="exact"/>
        <w:ind w:left="674" w:leftChars="321" w:right="13" w:firstLine="1612" w:firstLineChars="504"/>
        <w:jc w:val="both"/>
        <w:textAlignment w:val="baseline"/>
        <w:outlineLvl w:val="0"/>
        <w:rPr>
          <w:rFonts w:hint="eastAsia" w:ascii="仿宋_GB2312" w:hAnsi="仿宋_GB2312" w:eastAsia="仿宋_GB2312" w:cs="仿宋_GB2312"/>
          <w:b w:val="0"/>
          <w:bCs w:val="0"/>
          <w:color w:val="000000" w:themeColor="text1"/>
          <w:spacing w:val="0"/>
          <w:sz w:val="32"/>
          <w:szCs w:val="32"/>
          <w:lang w:eastAsia="zh-CN"/>
          <w14:textFill>
            <w14:solidFill>
              <w14:schemeClr w14:val="tx1"/>
            </w14:solidFill>
          </w14:textFill>
        </w:rPr>
      </w:pPr>
    </w:p>
    <w:p w14:paraId="48021AEC">
      <w:pPr>
        <w:pStyle w:val="9"/>
        <w:keepNext w:val="0"/>
        <w:keepLines w:val="0"/>
        <w:pageBreakBefore w:val="0"/>
        <w:widowControl/>
        <w:kinsoku/>
        <w:wordWrap/>
        <w:overflowPunct/>
        <w:topLinePunct w:val="0"/>
        <w:autoSpaceDE/>
        <w:autoSpaceDN/>
        <w:bidi w:val="0"/>
        <w:adjustRightInd w:val="0"/>
        <w:snapToGrid w:val="0"/>
        <w:spacing w:beforeLines="0" w:afterLines="0" w:line="560" w:lineRule="exact"/>
        <w:ind w:left="674" w:leftChars="321" w:right="13" w:firstLine="1612" w:firstLineChars="504"/>
        <w:jc w:val="both"/>
        <w:textAlignment w:val="baseline"/>
        <w:outlineLvl w:val="0"/>
        <w:rPr>
          <w:rFonts w:hint="eastAsia" w:ascii="仿宋_GB2312" w:hAnsi="仿宋_GB2312" w:eastAsia="仿宋_GB2312" w:cs="仿宋_GB2312"/>
          <w:b w:val="0"/>
          <w:bCs w:val="0"/>
          <w:color w:val="000000" w:themeColor="text1"/>
          <w:spacing w:val="0"/>
          <w:sz w:val="32"/>
          <w:szCs w:val="32"/>
          <w:lang w:eastAsia="zh-CN"/>
          <w14:textFill>
            <w14:solidFill>
              <w14:schemeClr w14:val="tx1"/>
            </w14:solidFill>
          </w14:textFill>
        </w:rPr>
      </w:pPr>
    </w:p>
    <w:p w14:paraId="54EC6162">
      <w:pPr>
        <w:pStyle w:val="9"/>
        <w:keepNext w:val="0"/>
        <w:keepLines w:val="0"/>
        <w:pageBreakBefore w:val="0"/>
        <w:widowControl/>
        <w:kinsoku/>
        <w:wordWrap/>
        <w:overflowPunct/>
        <w:topLinePunct w:val="0"/>
        <w:autoSpaceDE/>
        <w:autoSpaceDN/>
        <w:bidi w:val="0"/>
        <w:adjustRightInd w:val="0"/>
        <w:snapToGrid w:val="0"/>
        <w:spacing w:beforeLines="0" w:afterLines="0" w:line="560" w:lineRule="exact"/>
        <w:ind w:left="674" w:leftChars="321" w:right="13" w:firstLine="1612" w:firstLineChars="504"/>
        <w:jc w:val="both"/>
        <w:textAlignment w:val="baseline"/>
        <w:outlineLvl w:val="0"/>
        <w:rPr>
          <w:rFonts w:hint="eastAsia" w:ascii="仿宋_GB2312" w:hAnsi="仿宋_GB2312" w:eastAsia="仿宋_GB2312" w:cs="仿宋_GB2312"/>
          <w:b w:val="0"/>
          <w:bCs w:val="0"/>
          <w:color w:val="000000" w:themeColor="text1"/>
          <w:spacing w:val="0"/>
          <w:sz w:val="32"/>
          <w:szCs w:val="32"/>
          <w:lang w:eastAsia="zh-CN"/>
          <w14:textFill>
            <w14:solidFill>
              <w14:schemeClr w14:val="tx1"/>
            </w14:solidFill>
          </w14:textFill>
        </w:rPr>
      </w:pPr>
    </w:p>
    <w:p w14:paraId="0A9B6CB6">
      <w:pPr>
        <w:pStyle w:val="9"/>
        <w:widowControl/>
        <w:adjustRightInd w:val="0"/>
        <w:snapToGrid w:val="0"/>
        <w:spacing w:beforeLines="0" w:afterLines="0" w:line="560" w:lineRule="exact"/>
        <w:ind w:left="0" w:leftChars="0" w:right="13" w:firstLine="0" w:firstLineChars="0"/>
        <w:textAlignment w:val="baseline"/>
        <w:outlineLvl w:val="0"/>
        <w:rPr>
          <w:rFonts w:hint="eastAsia"/>
        </w:rPr>
      </w:pPr>
    </w:p>
    <w:sectPr>
      <w:headerReference r:id="rId4" w:type="default"/>
      <w:footerReference r:id="rId5" w:type="default"/>
      <w:pgSz w:w="11906" w:h="16838"/>
      <w:pgMar w:top="2098" w:right="1587" w:bottom="1701" w:left="1587" w:header="851" w:footer="992" w:gutter="0"/>
      <w:pgNumType w:fmt="decimal"/>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8B8B7DE-3F21-4ECA-87CB-7A4B6EBBDE98}"/>
  </w:font>
  <w:font w:name="黑体">
    <w:panose1 w:val="02010609060101010101"/>
    <w:charset w:val="86"/>
    <w:family w:val="auto"/>
    <w:pitch w:val="default"/>
    <w:sig w:usb0="800002BF" w:usb1="38CF7CFA" w:usb2="00000016" w:usb3="00000000" w:csb0="00040001" w:csb1="00000000"/>
    <w:embedRegular r:id="rId2" w:fontKey="{F058DC4B-6C94-49DE-AEC8-34C567648DA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C3177EF3-CBA6-4435-9DFE-9946A23F52DB}"/>
  </w:font>
  <w:font w:name="楷体_GB2312">
    <w:altName w:val="楷体"/>
    <w:panose1 w:val="02010609030101010101"/>
    <w:charset w:val="86"/>
    <w:family w:val="auto"/>
    <w:pitch w:val="default"/>
    <w:sig w:usb0="00000000" w:usb1="00000000" w:usb2="00000000" w:usb3="00000000" w:csb0="00040000" w:csb1="00000000"/>
    <w:embedRegular r:id="rId4" w:fontKey="{AB760640-FB8C-4D9D-8FE9-925A1CABF924}"/>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E0000" w:usb2="00000000" w:usb3="00000000" w:csb0="00040000" w:csb1="00000000"/>
    <w:embedRegular r:id="rId5" w:fontKey="{691E27E1-F5A0-496A-B5E4-FBC60AD4D982}"/>
  </w:font>
  <w:font w:name="仿宋_GB2312">
    <w:panose1 w:val="02010609030101010101"/>
    <w:charset w:val="86"/>
    <w:family w:val="modern"/>
    <w:pitch w:val="default"/>
    <w:sig w:usb0="00000001" w:usb1="080E0000" w:usb2="00000000" w:usb3="00000000" w:csb0="00040000" w:csb1="00000000"/>
    <w:embedRegular r:id="rId6" w:fontKey="{85DE572A-8C93-4872-8DF0-145E268781DB}"/>
  </w:font>
  <w:font w:name="楷体">
    <w:panose1 w:val="02010609060101010101"/>
    <w:charset w:val="86"/>
    <w:family w:val="auto"/>
    <w:pitch w:val="default"/>
    <w:sig w:usb0="800002BF" w:usb1="38CF7CFA" w:usb2="00000016" w:usb3="00000000" w:csb0="00040001" w:csb1="00000000"/>
    <w:embedRegular r:id="rId7" w:fontKey="{89F92F78-CEA6-483B-9259-D9A9B195283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CE319">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78F414">
                          <w:pPr>
                            <w:pStyle w:val="11"/>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w:t>
                          </w: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3</w:t>
                          </w:r>
                          <w:r>
                            <w:rPr>
                              <w:rFonts w:hint="eastAsia" w:asciiTheme="minorEastAsia" w:hAnsiTheme="minorEastAsia" w:eastAsiaTheme="minorEastAsia" w:cstheme="minorEastAsia"/>
                              <w:sz w:val="32"/>
                              <w:szCs w:val="32"/>
                              <w:lang w:eastAsia="zh-CN"/>
                            </w:rPr>
                            <w:fldChar w:fldCharType="end"/>
                          </w:r>
                          <w:r>
                            <w:rPr>
                              <w:rFonts w:hint="eastAsia" w:asciiTheme="minorEastAsia" w:hAnsiTheme="minorEastAsia" w:eastAsiaTheme="minorEastAsia" w:cstheme="minorEastAsia"/>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678F414">
                    <w:pPr>
                      <w:pStyle w:val="11"/>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w:t>
                    </w: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3</w:t>
                    </w:r>
                    <w:r>
                      <w:rPr>
                        <w:rFonts w:hint="eastAsia" w:asciiTheme="minorEastAsia" w:hAnsiTheme="minorEastAsia" w:eastAsiaTheme="minorEastAsia" w:cstheme="minorEastAsia"/>
                        <w:sz w:val="32"/>
                        <w:szCs w:val="32"/>
                        <w:lang w:eastAsia="zh-CN"/>
                      </w:rPr>
                      <w:fldChar w:fldCharType="end"/>
                    </w:r>
                    <w:r>
                      <w:rPr>
                        <w:rFonts w:hint="eastAsia" w:asciiTheme="minorEastAsia" w:hAnsiTheme="minorEastAsia" w:eastAsiaTheme="minorEastAsia" w:cstheme="minorEastAsia"/>
                        <w:sz w:val="32"/>
                        <w:szCs w:val="32"/>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4">
    <w:p>
      <w:r>
        <w:separator/>
      </w:r>
    </w:p>
  </w:footnote>
  <w:footnote w:type="continuationSeparator" w:id="15">
    <w:p>
      <w:r>
        <w:continuationSeparator/>
      </w:r>
    </w:p>
  </w:footnote>
  <w:footnote w:id="0">
    <w:p w14:paraId="5735A31A">
      <w:pPr>
        <w:widowControl w:val="0"/>
        <w:numPr>
          <w:ilvl w:val="0"/>
          <w:numId w:val="0"/>
        </w:numPr>
        <w:kinsoku/>
        <w:autoSpaceDE/>
        <w:autoSpaceDN/>
        <w:adjustRightInd/>
        <w:snapToGrid/>
        <w:spacing w:line="200" w:lineRule="exact"/>
        <w:jc w:val="both"/>
        <w:textAlignment w:val="auto"/>
        <w:outlineLvl w:val="9"/>
        <w:rPr>
          <w:rFonts w:hint="eastAsia" w:ascii="宋体" w:hAnsi="宋体" w:eastAsia="宋体" w:cs="宋体"/>
          <w:color w:val="000000" w:themeColor="text1"/>
          <w:sz w:val="18"/>
          <w:szCs w:val="18"/>
          <w:lang w:eastAsia="zh-CN"/>
          <w14:textFill>
            <w14:solidFill>
              <w14:schemeClr w14:val="tx1"/>
            </w14:solidFill>
          </w14:textFill>
        </w:rPr>
      </w:pPr>
      <w:r>
        <w:rPr>
          <w:rStyle w:val="16"/>
          <w:rFonts w:hint="eastAsia" w:ascii="宋体" w:hAnsi="宋体" w:eastAsia="宋体" w:cs="宋体"/>
          <w:color w:val="000000" w:themeColor="text1"/>
          <w:sz w:val="18"/>
          <w:szCs w:val="18"/>
          <w:lang w:eastAsia="zh-CN"/>
          <w14:textFill>
            <w14:solidFill>
              <w14:schemeClr w14:val="tx1"/>
            </w14:solidFill>
          </w14:textFill>
        </w:rPr>
        <w:t>[</w:t>
      </w:r>
      <w:r>
        <w:rPr>
          <w:rStyle w:val="16"/>
          <w:rFonts w:hint="eastAsia" w:ascii="宋体" w:hAnsi="宋体" w:eastAsia="宋体" w:cs="宋体"/>
          <w:color w:val="000000" w:themeColor="text1"/>
          <w:sz w:val="18"/>
          <w:szCs w:val="18"/>
          <w:lang w:eastAsia="zh-CN"/>
          <w14:textFill>
            <w14:solidFill>
              <w14:schemeClr w14:val="tx1"/>
            </w14:solidFill>
          </w14:textFill>
        </w:rPr>
        <w:footnoteRef/>
      </w:r>
      <w:r>
        <w:rPr>
          <w:rStyle w:val="16"/>
          <w:rFonts w:hint="eastAsia" w:ascii="宋体" w:hAnsi="宋体" w:eastAsia="宋体" w:cs="宋体"/>
          <w:color w:val="000000" w:themeColor="text1"/>
          <w:sz w:val="18"/>
          <w:szCs w:val="18"/>
          <w:lang w:eastAsia="zh-CN"/>
          <w14:textFill>
            <w14:solidFill>
              <w14:schemeClr w14:val="tx1"/>
            </w14:solidFill>
          </w14:textFill>
        </w:rPr>
        <w:t>]</w:t>
      </w:r>
      <w:r>
        <w:rPr>
          <w:rFonts w:hint="eastAsia" w:ascii="宋体" w:hAnsi="宋体" w:eastAsia="宋体" w:cs="宋体"/>
          <w:color w:val="000000" w:themeColor="text1"/>
          <w:sz w:val="18"/>
          <w:szCs w:val="18"/>
          <w:lang w:eastAsia="zh-CN"/>
          <w14:textFill>
            <w14:solidFill>
              <w14:schemeClr w14:val="tx1"/>
            </w14:solidFill>
          </w14:textFill>
        </w:rPr>
        <w:t xml:space="preserve"> 《中华人民共和国安全生产法》 第二十一条  生产经营单位的主要负责人对本单位安全生产工作负有下列职责：（一）建立健全并落实本单位全员安全生产责任制，加强安全生产标准化建设；（二）组织制定并实施本单位安全生产规章制度和操作规程；（三）组织制定并实施本单位安全生产教育和培训计划（四）保证本单位安全生产投入的有效实施；（五）组织建立并落实安全风险分级管控和隐患排查治理双重预防工作机制，督促、检查本单位的安全生产工作，及时消除生产安全事故隐患；（六）组织制定并实施本单位的生产安全事故应急救援预案; （七）及时、如实报告生产安全事故。</w:t>
      </w:r>
    </w:p>
  </w:footnote>
  <w:footnote w:id="1">
    <w:p w14:paraId="5C742E01">
      <w:pPr>
        <w:widowControl w:val="0"/>
        <w:numPr>
          <w:ilvl w:val="0"/>
          <w:numId w:val="0"/>
        </w:numPr>
        <w:kinsoku/>
        <w:autoSpaceDE/>
        <w:autoSpaceDN/>
        <w:adjustRightInd/>
        <w:snapToGrid/>
        <w:spacing w:line="220" w:lineRule="exact"/>
        <w:jc w:val="both"/>
        <w:textAlignment w:val="auto"/>
        <w:outlineLvl w:val="9"/>
        <w:rPr>
          <w:rFonts w:hint="eastAsia" w:ascii="宋体" w:hAnsi="宋体" w:eastAsia="宋体" w:cs="宋体"/>
          <w:color w:val="000000" w:themeColor="text1"/>
          <w:sz w:val="18"/>
          <w:szCs w:val="18"/>
          <w:lang w:eastAsia="zh-CN"/>
          <w14:textFill>
            <w14:solidFill>
              <w14:schemeClr w14:val="tx1"/>
            </w14:solidFill>
          </w14:textFill>
        </w:rPr>
      </w:pPr>
      <w:r>
        <w:rPr>
          <w:rStyle w:val="16"/>
          <w:rFonts w:hint="eastAsia" w:ascii="宋体" w:hAnsi="宋体" w:eastAsia="宋体" w:cs="宋体"/>
          <w:color w:val="000000" w:themeColor="text1"/>
          <w:sz w:val="18"/>
          <w:szCs w:val="18"/>
          <w:lang w:eastAsia="zh-CN"/>
          <w14:textFill>
            <w14:solidFill>
              <w14:schemeClr w14:val="tx1"/>
            </w14:solidFill>
          </w14:textFill>
        </w:rPr>
        <w:t>[</w:t>
      </w:r>
      <w:r>
        <w:rPr>
          <w:rStyle w:val="16"/>
          <w:rFonts w:hint="eastAsia" w:ascii="宋体" w:hAnsi="宋体" w:eastAsia="宋体" w:cs="宋体"/>
          <w:color w:val="000000" w:themeColor="text1"/>
          <w:sz w:val="18"/>
          <w:szCs w:val="18"/>
          <w:lang w:eastAsia="zh-CN"/>
          <w14:textFill>
            <w14:solidFill>
              <w14:schemeClr w14:val="tx1"/>
            </w14:solidFill>
          </w14:textFill>
        </w:rPr>
        <w:footnoteRef/>
      </w:r>
      <w:r>
        <w:rPr>
          <w:rStyle w:val="16"/>
          <w:rFonts w:hint="eastAsia" w:ascii="宋体" w:hAnsi="宋体" w:eastAsia="宋体" w:cs="宋体"/>
          <w:color w:val="000000" w:themeColor="text1"/>
          <w:sz w:val="18"/>
          <w:szCs w:val="18"/>
          <w:lang w:eastAsia="zh-CN"/>
          <w14:textFill>
            <w14:solidFill>
              <w14:schemeClr w14:val="tx1"/>
            </w14:solidFill>
          </w14:textFill>
        </w:rPr>
        <w:t>]</w:t>
      </w:r>
      <w:r>
        <w:rPr>
          <w:rFonts w:hint="eastAsia" w:ascii="宋体" w:hAnsi="宋体" w:eastAsia="宋体" w:cs="宋体"/>
          <w:color w:val="000000" w:themeColor="text1"/>
          <w:sz w:val="18"/>
          <w:szCs w:val="18"/>
          <w:lang w:eastAsia="zh-CN"/>
          <w14:textFill>
            <w14:solidFill>
              <w14:schemeClr w14:val="tx1"/>
            </w14:solidFill>
          </w14:textFill>
        </w:rPr>
        <w:t xml:space="preserve"> 《中华人民共和国安全生产法》第二十八条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r>
        <w:rPr>
          <w:rFonts w:hint="eastAsia" w:ascii="宋体" w:hAnsi="宋体" w:eastAsia="宋体" w:cs="宋体"/>
          <w:color w:val="000000" w:themeColor="text1"/>
          <w:sz w:val="18"/>
          <w:szCs w:val="18"/>
          <w:lang w:val="en-US" w:eastAsia="zh-CN"/>
          <w14:textFill>
            <w14:solidFill>
              <w14:schemeClr w14:val="tx1"/>
            </w14:solidFill>
          </w14:textFill>
        </w:rPr>
        <w:t>......</w:t>
      </w:r>
    </w:p>
  </w:footnote>
  <w:footnote w:id="2">
    <w:p w14:paraId="07B24B7F">
      <w:pPr>
        <w:pStyle w:val="13"/>
        <w:snapToGrid/>
        <w:spacing w:line="220" w:lineRule="exact"/>
        <w:jc w:val="left"/>
        <w:rPr>
          <w:rFonts w:hint="eastAsia" w:ascii="宋体" w:hAnsi="宋体" w:eastAsia="宋体" w:cs="宋体"/>
          <w:b w:val="0"/>
          <w:bCs/>
          <w:snapToGrid w:val="0"/>
          <w:color w:val="000000" w:themeColor="text1"/>
          <w:kern w:val="0"/>
          <w:sz w:val="18"/>
          <w:szCs w:val="18"/>
          <w:lang w:val="en-US" w:eastAsia="zh-CN" w:bidi="ar-SA"/>
          <w14:textFill>
            <w14:solidFill>
              <w14:schemeClr w14:val="tx1"/>
            </w14:solidFill>
          </w14:textFill>
        </w:rPr>
      </w:pPr>
      <w:r>
        <w:rPr>
          <w:rFonts w:hint="eastAsia" w:ascii="宋体" w:hAnsi="宋体" w:eastAsia="宋体" w:cs="宋体"/>
          <w:b w:val="0"/>
          <w:bCs/>
          <w:color w:val="000000" w:themeColor="text1"/>
          <w:szCs w:val="18"/>
          <w:lang w:eastAsia="zh-CN"/>
          <w14:textFill>
            <w14:solidFill>
              <w14:schemeClr w14:val="tx1"/>
            </w14:solidFill>
          </w14:textFill>
        </w:rPr>
        <w:t>[</w:t>
      </w:r>
      <w:r>
        <w:rPr>
          <w:rFonts w:hint="eastAsia" w:ascii="宋体" w:hAnsi="宋体" w:eastAsia="宋体" w:cs="宋体"/>
          <w:b w:val="0"/>
          <w:bCs/>
          <w:color w:val="000000" w:themeColor="text1"/>
          <w:szCs w:val="18"/>
          <w:lang w:eastAsia="zh-CN"/>
          <w14:textFill>
            <w14:solidFill>
              <w14:schemeClr w14:val="tx1"/>
            </w14:solidFill>
          </w14:textFill>
        </w:rPr>
        <w:footnoteRef/>
      </w:r>
      <w:r>
        <w:rPr>
          <w:rFonts w:hint="eastAsia" w:ascii="宋体" w:hAnsi="宋体" w:eastAsia="宋体" w:cs="宋体"/>
          <w:b w:val="0"/>
          <w:bCs/>
          <w:color w:val="000000" w:themeColor="text1"/>
          <w:szCs w:val="18"/>
          <w:lang w:eastAsia="zh-CN"/>
          <w14:textFill>
            <w14:solidFill>
              <w14:schemeClr w14:val="tx1"/>
            </w14:solidFill>
          </w14:textFill>
        </w:rPr>
        <w:t xml:space="preserve">] </w:t>
      </w:r>
      <w:r>
        <w:rPr>
          <w:rFonts w:hint="eastAsia" w:ascii="宋体" w:hAnsi="宋体" w:eastAsia="宋体" w:cs="宋体"/>
          <w:b w:val="0"/>
          <w:bCs/>
          <w:snapToGrid w:val="0"/>
          <w:color w:val="000000" w:themeColor="text1"/>
          <w:kern w:val="0"/>
          <w:sz w:val="18"/>
          <w:szCs w:val="18"/>
          <w:lang w:val="en-US" w:eastAsia="zh-CN" w:bidi="ar-SA"/>
          <w14:textFill>
            <w14:solidFill>
              <w14:schemeClr w14:val="tx1"/>
            </w14:solidFill>
          </w14:textFill>
        </w:rPr>
        <w:t>第一百一十四条第（一）项：“发生生产安全事故，对负有责任的生产经营单位除要求其依法承担相应的赔偿等责任外，由应急管理部门依照下列规定处以罚款:（一）发生一般事故的，处三十万元以上一百万元以下的罚款；”</w:t>
      </w:r>
    </w:p>
  </w:footnote>
  <w:footnote w:id="3">
    <w:p w14:paraId="1A988FD6">
      <w:pPr>
        <w:pStyle w:val="13"/>
        <w:snapToGrid/>
        <w:spacing w:line="220" w:lineRule="exact"/>
        <w:jc w:val="left"/>
        <w:rPr>
          <w:rFonts w:hint="eastAsia" w:ascii="宋体" w:hAnsi="宋体" w:eastAsia="宋体" w:cs="宋体"/>
          <w:b w:val="0"/>
          <w:bCs/>
          <w:snapToGrid w:val="0"/>
          <w:color w:val="000000" w:themeColor="text1"/>
          <w:kern w:val="0"/>
          <w:sz w:val="18"/>
          <w:szCs w:val="18"/>
          <w:lang w:val="en-US" w:eastAsia="zh-CN" w:bidi="ar-SA"/>
          <w14:textFill>
            <w14:solidFill>
              <w14:schemeClr w14:val="tx1"/>
            </w14:solidFill>
          </w14:textFill>
        </w:rPr>
      </w:pPr>
      <w:r>
        <w:rPr>
          <w:rFonts w:hint="eastAsia" w:ascii="宋体" w:hAnsi="宋体" w:eastAsia="宋体" w:cs="宋体"/>
          <w:b w:val="0"/>
          <w:bCs/>
          <w:color w:val="000000" w:themeColor="text1"/>
          <w:szCs w:val="18"/>
          <w:lang w:eastAsia="zh-CN"/>
          <w14:textFill>
            <w14:solidFill>
              <w14:schemeClr w14:val="tx1"/>
            </w14:solidFill>
          </w14:textFill>
        </w:rPr>
        <w:t>[</w:t>
      </w:r>
      <w:r>
        <w:rPr>
          <w:rFonts w:hint="eastAsia" w:ascii="宋体" w:hAnsi="宋体" w:eastAsia="宋体" w:cs="宋体"/>
          <w:b w:val="0"/>
          <w:bCs/>
          <w:color w:val="000000" w:themeColor="text1"/>
          <w:szCs w:val="18"/>
          <w:lang w:eastAsia="zh-CN"/>
          <w14:textFill>
            <w14:solidFill>
              <w14:schemeClr w14:val="tx1"/>
            </w14:solidFill>
          </w14:textFill>
        </w:rPr>
        <w:footnoteRef/>
      </w:r>
      <w:r>
        <w:rPr>
          <w:rFonts w:hint="eastAsia" w:ascii="宋体" w:hAnsi="宋体" w:eastAsia="宋体" w:cs="宋体"/>
          <w:b w:val="0"/>
          <w:bCs/>
          <w:color w:val="000000" w:themeColor="text1"/>
          <w:szCs w:val="18"/>
          <w:lang w:eastAsia="zh-CN"/>
          <w14:textFill>
            <w14:solidFill>
              <w14:schemeClr w14:val="tx1"/>
            </w14:solidFill>
          </w14:textFill>
        </w:rPr>
        <w:t xml:space="preserve">] </w:t>
      </w:r>
      <w:r>
        <w:rPr>
          <w:rFonts w:hint="eastAsia" w:ascii="宋体" w:hAnsi="宋体" w:eastAsia="宋体" w:cs="宋体"/>
          <w:b w:val="0"/>
          <w:bCs/>
          <w:snapToGrid w:val="0"/>
          <w:color w:val="000000" w:themeColor="text1"/>
          <w:kern w:val="0"/>
          <w:sz w:val="18"/>
          <w:szCs w:val="18"/>
          <w:lang w:val="en-US" w:eastAsia="zh-CN" w:bidi="ar-SA"/>
          <w14:textFill>
            <w14:solidFill>
              <w14:schemeClr w14:val="tx1"/>
            </w14:solidFill>
          </w14:textFill>
        </w:rPr>
        <w:t>第九十五条“生产经营单位的主要负责人未履行本法规定的安全生产管理职责，导致发生生产安全事故的，由应急管理部门依照下列规定处以罚款:（一）发生一般事故的，处上一年年收入百分之四十的罚款；”</w:t>
      </w:r>
    </w:p>
  </w:footnote>
  <w:footnote w:id="4">
    <w:p w14:paraId="1C90240B">
      <w:pPr>
        <w:pStyle w:val="13"/>
        <w:keepNext w:val="0"/>
        <w:keepLines w:val="0"/>
        <w:pageBreakBefore w:val="0"/>
        <w:widowControl/>
        <w:kinsoku/>
        <w:wordWrap/>
        <w:overflowPunct/>
        <w:topLinePunct w:val="0"/>
        <w:bidi w:val="0"/>
        <w:adjustRightInd/>
        <w:snapToGrid/>
        <w:spacing w:line="220" w:lineRule="exact"/>
        <w:jc w:val="left"/>
        <w:textAlignment w:val="auto"/>
        <w:rPr>
          <w:rFonts w:hint="eastAsia" w:ascii="宋体" w:hAnsi="宋体" w:eastAsia="宋体" w:cs="宋体"/>
          <w:b w:val="0"/>
          <w:bCs/>
          <w:snapToGrid w:val="0"/>
          <w:color w:val="000000" w:themeColor="text1"/>
          <w:kern w:val="0"/>
          <w:sz w:val="18"/>
          <w:szCs w:val="18"/>
          <w:lang w:val="en-US" w:eastAsia="zh-CN" w:bidi="ar-SA"/>
          <w14:textFill>
            <w14:solidFill>
              <w14:schemeClr w14:val="tx1"/>
            </w14:solidFill>
          </w14:textFill>
        </w:rPr>
      </w:pPr>
      <w:r>
        <w:rPr>
          <w:rFonts w:hint="eastAsia" w:ascii="宋体" w:hAnsi="宋体" w:eastAsia="宋体" w:cs="宋体"/>
          <w:bCs/>
          <w:color w:val="000000" w:themeColor="text1"/>
          <w:szCs w:val="18"/>
          <w:lang w:eastAsia="zh-CN"/>
          <w14:textFill>
            <w14:solidFill>
              <w14:schemeClr w14:val="tx1"/>
            </w14:solidFill>
          </w14:textFill>
        </w:rPr>
        <w:t>[</w:t>
      </w:r>
      <w:r>
        <w:rPr>
          <w:rFonts w:hint="eastAsia" w:ascii="宋体" w:hAnsi="宋体" w:eastAsia="宋体" w:cs="宋体"/>
          <w:bCs/>
          <w:color w:val="000000" w:themeColor="text1"/>
          <w:szCs w:val="18"/>
          <w:lang w:eastAsia="zh-CN"/>
          <w14:textFill>
            <w14:solidFill>
              <w14:schemeClr w14:val="tx1"/>
            </w14:solidFill>
          </w14:textFill>
        </w:rPr>
        <w:footnoteRef/>
      </w:r>
      <w:r>
        <w:rPr>
          <w:rFonts w:hint="eastAsia" w:ascii="宋体" w:hAnsi="宋体" w:eastAsia="宋体" w:cs="宋体"/>
          <w:bCs/>
          <w:color w:val="000000" w:themeColor="text1"/>
          <w:szCs w:val="18"/>
          <w:lang w:eastAsia="zh-CN"/>
          <w14:textFill>
            <w14:solidFill>
              <w14:schemeClr w14:val="tx1"/>
            </w14:solidFill>
          </w14:textFill>
        </w:rPr>
        <w:t xml:space="preserve">] </w:t>
      </w:r>
      <w:r>
        <w:rPr>
          <w:rFonts w:hint="eastAsia" w:ascii="宋体" w:hAnsi="宋体" w:eastAsia="宋体" w:cs="宋体"/>
          <w:b w:val="0"/>
          <w:bCs/>
          <w:snapToGrid w:val="0"/>
          <w:color w:val="000000" w:themeColor="text1"/>
          <w:kern w:val="0"/>
          <w:sz w:val="18"/>
          <w:szCs w:val="18"/>
          <w:lang w:val="en-US" w:eastAsia="zh-CN" w:bidi="ar-SA"/>
          <w14:textFill>
            <w14:solidFill>
              <w14:schemeClr w14:val="tx1"/>
            </w14:solidFill>
          </w14:textFill>
        </w:rPr>
        <w:t>第九十六条：“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w:t>
      </w:r>
    </w:p>
  </w:footnote>
  <w:footnote w:id="5">
    <w:p w14:paraId="359F3BA6">
      <w:pPr>
        <w:widowControl w:val="0"/>
        <w:numPr>
          <w:ilvl w:val="0"/>
          <w:numId w:val="0"/>
        </w:numPr>
        <w:kinsoku/>
        <w:autoSpaceDE/>
        <w:autoSpaceDN/>
        <w:adjustRightInd/>
        <w:snapToGrid/>
        <w:spacing w:line="220" w:lineRule="exact"/>
        <w:jc w:val="both"/>
        <w:textAlignment w:val="auto"/>
        <w:outlineLvl w:val="9"/>
      </w:pPr>
      <w:r>
        <w:rPr>
          <w:rFonts w:hint="eastAsia" w:ascii="宋体" w:hAnsi="宋体" w:eastAsia="宋体" w:cs="宋体"/>
          <w:bCs/>
          <w:color w:val="000000" w:themeColor="text1"/>
          <w:sz w:val="18"/>
          <w:szCs w:val="18"/>
          <w:lang w:eastAsia="zh-CN"/>
          <w14:textFill>
            <w14:solidFill>
              <w14:schemeClr w14:val="tx1"/>
            </w14:solidFill>
          </w14:textFill>
        </w:rPr>
        <w:t>[</w:t>
      </w:r>
      <w:r>
        <w:rPr>
          <w:rFonts w:hint="eastAsia" w:ascii="宋体" w:hAnsi="宋体" w:eastAsia="宋体" w:cs="宋体"/>
          <w:bCs/>
          <w:color w:val="000000" w:themeColor="text1"/>
          <w:sz w:val="18"/>
          <w:szCs w:val="18"/>
          <w:lang w:eastAsia="zh-CN"/>
          <w14:textFill>
            <w14:solidFill>
              <w14:schemeClr w14:val="tx1"/>
            </w14:solidFill>
          </w14:textFill>
        </w:rPr>
        <w:footnoteRef/>
      </w:r>
      <w:r>
        <w:rPr>
          <w:rFonts w:hint="eastAsia" w:ascii="宋体" w:hAnsi="宋体" w:eastAsia="宋体" w:cs="宋体"/>
          <w:bCs/>
          <w:color w:val="000000" w:themeColor="text1"/>
          <w:sz w:val="18"/>
          <w:szCs w:val="18"/>
          <w:lang w:eastAsia="zh-CN"/>
          <w14:textFill>
            <w14:solidFill>
              <w14:schemeClr w14:val="tx1"/>
            </w14:solidFill>
          </w14:textFill>
        </w:rPr>
        <w:t xml:space="preserve">] </w:t>
      </w:r>
      <w:r>
        <w:rPr>
          <w:rFonts w:hint="eastAsia" w:ascii="宋体" w:hAnsi="宋体" w:eastAsia="宋体" w:cs="宋体"/>
          <w:color w:val="000000" w:themeColor="text1"/>
          <w:sz w:val="18"/>
          <w:szCs w:val="18"/>
          <w:lang w:eastAsia="zh-CN"/>
          <w14:textFill>
            <w14:solidFill>
              <w14:schemeClr w14:val="tx1"/>
            </w14:solidFill>
          </w14:textFill>
        </w:rPr>
        <w:t>《中华人民共和国安全生产法》</w:t>
      </w:r>
      <w:r>
        <w:rPr>
          <w:rFonts w:hint="eastAsia" w:ascii="宋体" w:hAnsi="宋体" w:eastAsia="宋体" w:cs="宋体"/>
          <w:b w:val="0"/>
          <w:color w:val="000000"/>
          <w:sz w:val="18"/>
          <w:szCs w:val="18"/>
          <w:lang w:eastAsia="zh-CN"/>
        </w:rPr>
        <w:t>第二十五条</w:t>
      </w:r>
      <w:r>
        <w:rPr>
          <w:rFonts w:hint="eastAsia" w:ascii="宋体" w:hAnsi="宋体" w:eastAsia="宋体" w:cs="宋体"/>
          <w:color w:val="000000"/>
          <w:sz w:val="18"/>
          <w:szCs w:val="18"/>
          <w:lang w:eastAsia="zh-CN"/>
        </w:rPr>
        <w:t>　生产经营单位的安全生产管理机构以及安全生产管理人员履行下列职责:（一）组织或者参与拟订本单位安全生产规章制度、操作规程和生产安全事故应急救援预案；（二）组织或者参与本单位安全生产教育和培训，如实记录安全生产教育和培训情况；（三）组织开展危险源辨识和评估，督促落实本单位重大危险源的安全管理措施；（四）组织或者参与本单位应急救援演练；（五）检查本单位的安全生产状况，及时排查生产安全事故隐患，提出改进安全生产管理的建议；（六）制止和纠正违章指挥、强令冒险作业、违反操作规程的行为；（七）督促落实本单位安全生产整改措施。生产经营单位可以设置专职安全生产分管负责人，协助本单位主要负责人履行安全生产管理职责。</w:t>
      </w:r>
    </w:p>
  </w:footnote>
  <w:footnote w:id="6">
    <w:p w14:paraId="1507CB97">
      <w:pPr>
        <w:pStyle w:val="13"/>
        <w:snapToGrid w:val="0"/>
      </w:pPr>
      <w:r>
        <w:rPr>
          <w:rFonts w:hint="eastAsia" w:ascii="宋体" w:hAnsi="宋体" w:eastAsia="宋体" w:cs="宋体"/>
          <w:bCs/>
          <w:color w:val="000000" w:themeColor="text1"/>
          <w:szCs w:val="18"/>
          <w:lang w:eastAsia="zh-CN"/>
          <w14:textFill>
            <w14:solidFill>
              <w14:schemeClr w14:val="tx1"/>
            </w14:solidFill>
          </w14:textFill>
        </w:rPr>
        <w:t>[</w:t>
      </w:r>
      <w:r>
        <w:rPr>
          <w:rFonts w:hint="eastAsia" w:ascii="宋体" w:hAnsi="宋体" w:eastAsia="宋体" w:cs="宋体"/>
          <w:bCs/>
          <w:color w:val="000000" w:themeColor="text1"/>
          <w:szCs w:val="18"/>
          <w:lang w:eastAsia="zh-CN"/>
          <w14:textFill>
            <w14:solidFill>
              <w14:schemeClr w14:val="tx1"/>
            </w14:solidFill>
          </w14:textFill>
        </w:rPr>
        <w:footnoteRef/>
      </w:r>
      <w:r>
        <w:rPr>
          <w:rFonts w:hint="eastAsia" w:ascii="宋体" w:hAnsi="宋体" w:eastAsia="宋体" w:cs="宋体"/>
          <w:bCs/>
          <w:color w:val="000000" w:themeColor="text1"/>
          <w:szCs w:val="18"/>
          <w:lang w:eastAsia="zh-CN"/>
          <w14:textFill>
            <w14:solidFill>
              <w14:schemeClr w14:val="tx1"/>
            </w14:solidFill>
          </w14:textFill>
        </w:rPr>
        <w:t xml:space="preserve">] </w:t>
      </w:r>
      <w:r>
        <w:rPr>
          <w:rFonts w:hint="eastAsia"/>
        </w:rPr>
        <w:t>《金属非金属地下矿山企业领导带班下井及监督检查暂行规定》　第十条　矿山企业领导带班下井时，应当履行下列职责：（一）加强对井下重点部位、关键环节的安全检查及检查巡视，全面掌握井下的安全生产情况；（二）及时发现和组织消除事故隐患和险情，及时制止违章违纪行为，严禁违章指挥，严禁超能力组织生产；（三）遇到险情时，立即下达停产撤人命令，组织涉险区域人员及时、有序撤离到安全地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9C3E7">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14"/>
    <w:footnote w:id="1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75C2F"/>
    <w:rsid w:val="01D31082"/>
    <w:rsid w:val="05E04307"/>
    <w:rsid w:val="064A5455"/>
    <w:rsid w:val="0AD42892"/>
    <w:rsid w:val="0DAF5B2F"/>
    <w:rsid w:val="0ED412AF"/>
    <w:rsid w:val="103C6331"/>
    <w:rsid w:val="17EB6EA6"/>
    <w:rsid w:val="1CBF32A3"/>
    <w:rsid w:val="1EA31B4F"/>
    <w:rsid w:val="222F6DEE"/>
    <w:rsid w:val="24C43EEC"/>
    <w:rsid w:val="24DB4B71"/>
    <w:rsid w:val="287311B0"/>
    <w:rsid w:val="2A9F55D3"/>
    <w:rsid w:val="2AEE66CF"/>
    <w:rsid w:val="2B8161E6"/>
    <w:rsid w:val="31F77F58"/>
    <w:rsid w:val="33DA5288"/>
    <w:rsid w:val="3A4464D4"/>
    <w:rsid w:val="3BFD13C9"/>
    <w:rsid w:val="3E293C5C"/>
    <w:rsid w:val="3E30050C"/>
    <w:rsid w:val="3EDE5064"/>
    <w:rsid w:val="3F8D62FD"/>
    <w:rsid w:val="3FF52555"/>
    <w:rsid w:val="3FFF6E45"/>
    <w:rsid w:val="462555FD"/>
    <w:rsid w:val="4ACD4289"/>
    <w:rsid w:val="4C873598"/>
    <w:rsid w:val="4DAC6CEC"/>
    <w:rsid w:val="4E85106B"/>
    <w:rsid w:val="50695611"/>
    <w:rsid w:val="549B6A88"/>
    <w:rsid w:val="55AD63B6"/>
    <w:rsid w:val="55EB5A20"/>
    <w:rsid w:val="5A7957F1"/>
    <w:rsid w:val="5B313E3D"/>
    <w:rsid w:val="5BE7260C"/>
    <w:rsid w:val="5E987133"/>
    <w:rsid w:val="5F6C16CC"/>
    <w:rsid w:val="5F8D2302"/>
    <w:rsid w:val="6143290A"/>
    <w:rsid w:val="655A54D3"/>
    <w:rsid w:val="69FA61AE"/>
    <w:rsid w:val="6C2A7227"/>
    <w:rsid w:val="714A6702"/>
    <w:rsid w:val="72BF3F42"/>
    <w:rsid w:val="73EB10C8"/>
    <w:rsid w:val="746D586E"/>
    <w:rsid w:val="75FEFE2D"/>
    <w:rsid w:val="76FF1718"/>
    <w:rsid w:val="7831161E"/>
    <w:rsid w:val="79D7819C"/>
    <w:rsid w:val="7C0A3756"/>
    <w:rsid w:val="7CF72DD9"/>
    <w:rsid w:val="7DB77954"/>
    <w:rsid w:val="7EF54C61"/>
    <w:rsid w:val="7F9722B1"/>
    <w:rsid w:val="9B539872"/>
    <w:rsid w:val="AFDF0EAB"/>
    <w:rsid w:val="AFEFA35C"/>
    <w:rsid w:val="BDF15D6A"/>
    <w:rsid w:val="BECD782E"/>
    <w:rsid w:val="E5EE3DDE"/>
    <w:rsid w:val="E96B435A"/>
    <w:rsid w:val="E9FE7787"/>
    <w:rsid w:val="F7FBF1F3"/>
    <w:rsid w:val="F7FF4C5E"/>
    <w:rsid w:val="FBEF8D11"/>
    <w:rsid w:val="FF7E48A4"/>
    <w:rsid w:val="FFCFD710"/>
    <w:rsid w:val="FFED6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qFormat/>
    <w:uiPriority w:val="0"/>
    <w:pPr>
      <w:keepNext/>
      <w:keepLines/>
      <w:spacing w:beforeLines="0" w:beforeAutospacing="0" w:afterLines="0" w:afterAutospacing="0" w:line="560" w:lineRule="exact"/>
      <w:ind w:firstLine="800" w:firstLineChars="200"/>
      <w:outlineLvl w:val="0"/>
    </w:pPr>
    <w:rPr>
      <w:rFonts w:ascii="Times New Roman" w:hAnsi="Times New Roman" w:eastAsia="黑体" w:cs="Times New Roman"/>
      <w:kern w:val="44"/>
      <w:sz w:val="32"/>
    </w:rPr>
  </w:style>
  <w:style w:type="paragraph" w:styleId="6">
    <w:name w:val="heading 2"/>
    <w:basedOn w:val="1"/>
    <w:next w:val="1"/>
    <w:qFormat/>
    <w:uiPriority w:val="0"/>
    <w:pPr>
      <w:widowControl/>
      <w:wordWrap w:val="0"/>
      <w:autoSpaceDE/>
      <w:autoSpaceDN/>
      <w:spacing w:before="0" w:beforeLines="0" w:after="160" w:afterLines="0" w:line="240" w:lineRule="auto"/>
      <w:ind w:left="0" w:firstLine="0"/>
      <w:jc w:val="both"/>
    </w:pPr>
    <w:rPr>
      <w:sz w:val="21"/>
    </w:rPr>
  </w:style>
  <w:style w:type="paragraph" w:styleId="7">
    <w:name w:val="heading 3"/>
    <w:next w:val="1"/>
    <w:unhideWhenUsed/>
    <w:qFormat/>
    <w:uiPriority w:val="0"/>
    <w:pPr>
      <w:keepNext/>
      <w:keepLines/>
      <w:spacing w:beforeLines="0" w:beforeAutospacing="0" w:afterLines="0" w:afterAutospacing="0" w:line="560" w:lineRule="exact"/>
      <w:ind w:firstLine="640" w:firstLineChars="200"/>
      <w:jc w:val="both"/>
      <w:outlineLvl w:val="2"/>
    </w:pPr>
    <w:rPr>
      <w:rFonts w:ascii="Calibri" w:hAnsi="Calibri" w:eastAsia="楷体_GB2312" w:cstheme="minorBidi"/>
      <w:b/>
      <w:sz w:val="32"/>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0"/>
      <w:ind w:firstLine="420" w:firstLineChars="200"/>
    </w:pPr>
    <w:rPr>
      <w:rFonts w:ascii="Calibri" w:hAnsi="Calibri" w:eastAsia="宋体" w:cs="Times New Roman"/>
    </w:rPr>
  </w:style>
  <w:style w:type="paragraph" w:styleId="3">
    <w:name w:val="Body Text Indent"/>
    <w:basedOn w:val="1"/>
    <w:next w:val="4"/>
    <w:qFormat/>
    <w:uiPriority w:val="99"/>
    <w:pPr>
      <w:spacing w:after="120"/>
      <w:ind w:left="420" w:leftChars="200"/>
    </w:pPr>
    <w:rPr>
      <w:rFonts w:eastAsia="宋体"/>
      <w:sz w:val="21"/>
    </w:rPr>
  </w:style>
  <w:style w:type="paragraph" w:styleId="4">
    <w:name w:val="Normal Indent"/>
    <w:basedOn w:val="1"/>
    <w:next w:val="1"/>
    <w:qFormat/>
    <w:uiPriority w:val="99"/>
    <w:pPr>
      <w:ind w:firstLine="420" w:firstLineChars="200"/>
    </w:pPr>
    <w:rPr>
      <w:rFonts w:ascii="Calibri" w:hAnsi="Calibri" w:eastAsia="仿宋"/>
      <w:sz w:val="32"/>
    </w:rPr>
  </w:style>
  <w:style w:type="paragraph" w:styleId="8">
    <w:name w:val="table of authorities"/>
    <w:basedOn w:val="1"/>
    <w:next w:val="1"/>
    <w:qFormat/>
    <w:uiPriority w:val="0"/>
    <w:pPr>
      <w:ind w:left="420" w:leftChars="200"/>
    </w:pPr>
    <w:rPr>
      <w:rFonts w:ascii="Times New Roman" w:hAnsi="Times New Roman" w:eastAsia="宋体" w:cs="Times New Roman"/>
    </w:rPr>
  </w:style>
  <w:style w:type="paragraph" w:styleId="9">
    <w:name w:val="Body Text"/>
    <w:basedOn w:val="1"/>
    <w:semiHidden/>
    <w:qFormat/>
    <w:uiPriority w:val="0"/>
    <w:rPr>
      <w:rFonts w:ascii="仿宋" w:hAnsi="仿宋" w:eastAsia="仿宋" w:cs="仿宋"/>
      <w:sz w:val="31"/>
      <w:szCs w:val="31"/>
      <w:lang w:val="en-US" w:eastAsia="en-US" w:bidi="ar-SA"/>
    </w:rPr>
  </w:style>
  <w:style w:type="paragraph" w:styleId="10">
    <w:name w:val="Plain Text"/>
    <w:basedOn w:val="1"/>
    <w:unhideWhenUsed/>
    <w:qFormat/>
    <w:uiPriority w:val="99"/>
    <w:rPr>
      <w:rFonts w:ascii="宋体" w:hAnsi="Courier New" w:cs="Courier New"/>
      <w:szCs w:val="21"/>
    </w:rPr>
  </w:style>
  <w:style w:type="paragraph" w:styleId="11">
    <w:name w:val="footer"/>
    <w:basedOn w:val="1"/>
    <w:qFormat/>
    <w:uiPriority w:val="99"/>
    <w:pPr>
      <w:tabs>
        <w:tab w:val="center" w:pos="4153"/>
        <w:tab w:val="right" w:pos="8306"/>
      </w:tabs>
      <w:snapToGrid w:val="0"/>
      <w:jc w:val="left"/>
    </w:pPr>
    <w:rPr>
      <w:kern w:val="0"/>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footnote text"/>
    <w:basedOn w:val="1"/>
    <w:qFormat/>
    <w:uiPriority w:val="0"/>
    <w:pPr>
      <w:snapToGrid w:val="0"/>
      <w:jc w:val="left"/>
    </w:pPr>
    <w:rPr>
      <w:sz w:val="18"/>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7">
    <w:name w:val="footnote reference"/>
    <w:basedOn w:val="16"/>
    <w:qFormat/>
    <w:uiPriority w:val="0"/>
    <w:rPr>
      <w:vertAlign w:val="superscript"/>
    </w:rPr>
  </w:style>
  <w:style w:type="character" w:customStyle="1" w:styleId="18">
    <w:name w:val="NormalCharacter"/>
    <w:link w:val="1"/>
    <w:semiHidden/>
    <w:qFormat/>
    <w:uiPriority w:val="0"/>
    <w:rPr>
      <w:rFonts w:ascii="Calibri" w:hAnsi="Calibri" w:eastAsia="宋体" w:cs="Times New Roman"/>
      <w:kern w:val="2"/>
      <w:sz w:val="21"/>
      <w:szCs w:val="22"/>
      <w:lang w:val="en-US" w:eastAsia="zh-CN" w:bidi="ar-SA"/>
    </w:rPr>
  </w:style>
  <w:style w:type="paragraph" w:customStyle="1" w:styleId="19">
    <w:name w:val="WPSOffice手动目录 1"/>
    <w:qFormat/>
    <w:uiPriority w:val="0"/>
    <w:pPr>
      <w:ind w:leftChars="0"/>
    </w:pPr>
    <w:rPr>
      <w:rFonts w:ascii="Times New Roman" w:hAnsi="Times New Roman" w:eastAsia="宋体" w:cs="Times New Roman"/>
      <w:sz w:val="20"/>
      <w:szCs w:val="20"/>
    </w:rPr>
  </w:style>
  <w:style w:type="paragraph" w:customStyle="1" w:styleId="20">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45a5fca-3dc8-4161-ac17-6cf82bc22c30}"/>
        <w:style w:val=""/>
        <w:category>
          <w:name w:val="常规"/>
          <w:gallery w:val="placeholder"/>
        </w:category>
        <w:types>
          <w:type w:val="bbPlcHdr"/>
        </w:types>
        <w:behaviors>
          <w:behavior w:val="content"/>
        </w:behaviors>
        <w:description w:val=""/>
        <w:guid w:val="{e45a5fca-3dc8-4161-ac17-6cf82bc22c30}"/>
      </w:docPartPr>
      <w:docPartBody>
        <w:p w14:paraId="06F7F501">
          <w:r>
            <w:rPr>
              <w:color w:val="808080"/>
            </w:rPr>
            <w:t>单击此处输入文字。</w:t>
          </w:r>
        </w:p>
      </w:docPartBody>
    </w:docPart>
    <w:docPart>
      <w:docPartPr>
        <w:name w:val="{7ec394a0-8a00-421a-8206-5ec19defa707}"/>
        <w:style w:val=""/>
        <w:category>
          <w:name w:val="常规"/>
          <w:gallery w:val="placeholder"/>
        </w:category>
        <w:types>
          <w:type w:val="bbPlcHdr"/>
        </w:types>
        <w:behaviors>
          <w:behavior w:val="content"/>
        </w:behaviors>
        <w:description w:val=""/>
        <w:guid w:val="{7ec394a0-8a00-421a-8206-5ec19defa707}"/>
      </w:docPartPr>
      <w:docPartBody>
        <w:p w14:paraId="46638B2B">
          <w:r>
            <w:rPr>
              <w:color w:val="808080"/>
            </w:rPr>
            <w:t>单击此处输入文字。</w:t>
          </w:r>
        </w:p>
      </w:docPartBody>
    </w:docPart>
    <w:docPart>
      <w:docPartPr>
        <w:name w:val="{4c14c30e-45e7-4052-b285-c93b25dca7dd}"/>
        <w:style w:val=""/>
        <w:category>
          <w:name w:val="常规"/>
          <w:gallery w:val="placeholder"/>
        </w:category>
        <w:types>
          <w:type w:val="bbPlcHdr"/>
        </w:types>
        <w:behaviors>
          <w:behavior w:val="content"/>
        </w:behaviors>
        <w:description w:val=""/>
        <w:guid w:val="{4c14c30e-45e7-4052-b285-c93b25dca7dd}"/>
      </w:docPartPr>
      <w:docPartBody>
        <w:p w14:paraId="1F2DCDBA">
          <w:r>
            <w:rPr>
              <w:color w:val="808080"/>
            </w:rPr>
            <w:t>单击此处输入文字。</w:t>
          </w:r>
        </w:p>
      </w:docPartBody>
    </w:docPart>
    <w:docPart>
      <w:docPartPr>
        <w:name w:val="{7ab294e2-9984-484c-bb09-7d0eaae4c880}"/>
        <w:style w:val=""/>
        <w:category>
          <w:name w:val="常规"/>
          <w:gallery w:val="placeholder"/>
        </w:category>
        <w:types>
          <w:type w:val="bbPlcHdr"/>
        </w:types>
        <w:behaviors>
          <w:behavior w:val="content"/>
        </w:behaviors>
        <w:description w:val=""/>
        <w:guid w:val="{7ab294e2-9984-484c-bb09-7d0eaae4c880}"/>
      </w:docPartPr>
      <w:docPartBody>
        <w:p w14:paraId="1A54A54A">
          <w:r>
            <w:rPr>
              <w:color w:val="808080"/>
            </w:rPr>
            <w:t>单击此处输入文字。</w:t>
          </w:r>
        </w:p>
      </w:docPartBody>
    </w:docPart>
    <w:docPart>
      <w:docPartPr>
        <w:name w:val="{300c235a-cfea-438f-9e6e-af8053f65e6f}"/>
        <w:style w:val=""/>
        <w:category>
          <w:name w:val="常规"/>
          <w:gallery w:val="placeholder"/>
        </w:category>
        <w:types>
          <w:type w:val="bbPlcHdr"/>
        </w:types>
        <w:behaviors>
          <w:behavior w:val="content"/>
        </w:behaviors>
        <w:description w:val=""/>
        <w:guid w:val="{300c235a-cfea-438f-9e6e-af8053f65e6f}"/>
      </w:docPartPr>
      <w:docPartBody>
        <w:p w14:paraId="032D1FA4">
          <w:r>
            <w:rPr>
              <w:color w:val="808080"/>
            </w:rPr>
            <w:t>单击此处输入文字。</w:t>
          </w:r>
        </w:p>
      </w:docPartBody>
    </w:docPart>
    <w:docPart>
      <w:docPartPr>
        <w:name w:val="{53222f54-020d-46ac-8166-624972159685}"/>
        <w:style w:val=""/>
        <w:category>
          <w:name w:val="常规"/>
          <w:gallery w:val="placeholder"/>
        </w:category>
        <w:types>
          <w:type w:val="bbPlcHdr"/>
        </w:types>
        <w:behaviors>
          <w:behavior w:val="content"/>
        </w:behaviors>
        <w:description w:val=""/>
        <w:guid w:val="{53222f54-020d-46ac-8166-624972159685}"/>
      </w:docPartPr>
      <w:docPartBody>
        <w:p w14:paraId="080F70F3">
          <w:r>
            <w:rPr>
              <w:color w:val="808080"/>
            </w:rPr>
            <w:t>单击此处输入文字。</w:t>
          </w:r>
        </w:p>
      </w:docPartBody>
    </w:docPart>
    <w:docPart>
      <w:docPartPr>
        <w:name w:val="{862f6b78-0961-4732-bc02-b06f04757b1c}"/>
        <w:style w:val=""/>
        <w:category>
          <w:name w:val="常规"/>
          <w:gallery w:val="placeholder"/>
        </w:category>
        <w:types>
          <w:type w:val="bbPlcHdr"/>
        </w:types>
        <w:behaviors>
          <w:behavior w:val="content"/>
        </w:behaviors>
        <w:description w:val=""/>
        <w:guid w:val="{862f6b78-0961-4732-bc02-b06f04757b1c}"/>
      </w:docPartPr>
      <w:docPartBody>
        <w:p w14:paraId="3A37EA34">
          <w:r>
            <w:rPr>
              <w:color w:val="808080"/>
            </w:rPr>
            <w:t>单击此处输入文字。</w:t>
          </w:r>
        </w:p>
      </w:docPartBody>
    </w:docPart>
    <w:docPart>
      <w:docPartPr>
        <w:name w:val="{23fc86c9-a262-49eb-b351-59ef8628bec8}"/>
        <w:style w:val=""/>
        <w:category>
          <w:name w:val="常规"/>
          <w:gallery w:val="placeholder"/>
        </w:category>
        <w:types>
          <w:type w:val="bbPlcHdr"/>
        </w:types>
        <w:behaviors>
          <w:behavior w:val="content"/>
        </w:behaviors>
        <w:description w:val=""/>
        <w:guid w:val="{23fc86c9-a262-49eb-b351-59ef8628bec8}"/>
      </w:docPartPr>
      <w:docPartBody>
        <w:p w14:paraId="6E642F45">
          <w:r>
            <w:rPr>
              <w:color w:val="808080"/>
            </w:rPr>
            <w:t>单击此处输入文字。</w:t>
          </w:r>
        </w:p>
      </w:docPartBody>
    </w:docPart>
    <w:docPart>
      <w:docPartPr>
        <w:name w:val="{3e38937a-f2ae-4a4e-95b2-8187f99e3bf1}"/>
        <w:style w:val=""/>
        <w:category>
          <w:name w:val="常规"/>
          <w:gallery w:val="placeholder"/>
        </w:category>
        <w:types>
          <w:type w:val="bbPlcHdr"/>
        </w:types>
        <w:behaviors>
          <w:behavior w:val="content"/>
        </w:behaviors>
        <w:description w:val=""/>
        <w:guid w:val="{3e38937a-f2ae-4a4e-95b2-8187f99e3bf1}"/>
      </w:docPartPr>
      <w:docPartBody>
        <w:p w14:paraId="6D5B1C92">
          <w:r>
            <w:rPr>
              <w:color w:val="808080"/>
            </w:rPr>
            <w:t>单击此处输入文字。</w:t>
          </w:r>
        </w:p>
      </w:docPartBody>
    </w:docPart>
    <w:docPart>
      <w:docPartPr>
        <w:name w:val="{53827b93-cd7b-4931-936f-e68affceeb31}"/>
        <w:style w:val=""/>
        <w:category>
          <w:name w:val="常规"/>
          <w:gallery w:val="placeholder"/>
        </w:category>
        <w:types>
          <w:type w:val="bbPlcHdr"/>
        </w:types>
        <w:behaviors>
          <w:behavior w:val="content"/>
        </w:behaviors>
        <w:description w:val=""/>
        <w:guid w:val="{53827b93-cd7b-4931-936f-e68affceeb31}"/>
      </w:docPartPr>
      <w:docPartBody>
        <w:p w14:paraId="2DB62DDF">
          <w:r>
            <w:rPr>
              <w:color w:val="808080"/>
            </w:rPr>
            <w:t>单击此处输入文字。</w:t>
          </w:r>
        </w:p>
      </w:docPartBody>
    </w:docPart>
    <w:docPart>
      <w:docPartPr>
        <w:name w:val="{6811de6d-be62-4392-b970-76d08027abcd}"/>
        <w:style w:val=""/>
        <w:category>
          <w:name w:val="常规"/>
          <w:gallery w:val="placeholder"/>
        </w:category>
        <w:types>
          <w:type w:val="bbPlcHdr"/>
        </w:types>
        <w:behaviors>
          <w:behavior w:val="content"/>
        </w:behaviors>
        <w:description w:val=""/>
        <w:guid w:val="{6811de6d-be62-4392-b970-76d08027abcd}"/>
      </w:docPartPr>
      <w:docPartBody>
        <w:p w14:paraId="766E261E">
          <w:r>
            <w:rPr>
              <w:color w:val="808080"/>
            </w:rPr>
            <w:t>单击此处输入文字。</w:t>
          </w:r>
        </w:p>
      </w:docPartBody>
    </w:docPart>
    <w:docPart>
      <w:docPartPr>
        <w:name w:val="{3946c831-1bf6-4d7d-8582-02cec3704d18}"/>
        <w:style w:val=""/>
        <w:category>
          <w:name w:val="常规"/>
          <w:gallery w:val="placeholder"/>
        </w:category>
        <w:types>
          <w:type w:val="bbPlcHdr"/>
        </w:types>
        <w:behaviors>
          <w:behavior w:val="content"/>
        </w:behaviors>
        <w:description w:val=""/>
        <w:guid w:val="{3946c831-1bf6-4d7d-8582-02cec3704d18}"/>
      </w:docPartPr>
      <w:docPartBody>
        <w:p w14:paraId="6E07561A">
          <w:r>
            <w:rPr>
              <w:color w:val="808080"/>
            </w:rPr>
            <w:t>单击此处输入文字。</w:t>
          </w:r>
        </w:p>
      </w:docPartBody>
    </w:docPart>
    <w:docPart>
      <w:docPartPr>
        <w:name w:val="{2f781574-99e4-4bbd-9e4c-dbffb2c9bac1}"/>
        <w:style w:val=""/>
        <w:category>
          <w:name w:val="常规"/>
          <w:gallery w:val="placeholder"/>
        </w:category>
        <w:types>
          <w:type w:val="bbPlcHdr"/>
        </w:types>
        <w:behaviors>
          <w:behavior w:val="content"/>
        </w:behaviors>
        <w:description w:val=""/>
        <w:guid w:val="{2f781574-99e4-4bbd-9e4c-dbffb2c9bac1}"/>
      </w:docPartPr>
      <w:docPartBody>
        <w:p w14:paraId="6020FDDD">
          <w:r>
            <w:rPr>
              <w:color w:val="808080"/>
            </w:rPr>
            <w:t>单击此处输入文字。</w:t>
          </w:r>
        </w:p>
      </w:docPartBody>
    </w:docPart>
    <w:docPart>
      <w:docPartPr>
        <w:name w:val="{5129a75d-1fc6-40a0-8b90-d71c25cc7aeb}"/>
        <w:style w:val=""/>
        <w:category>
          <w:name w:val="常规"/>
          <w:gallery w:val="placeholder"/>
        </w:category>
        <w:types>
          <w:type w:val="bbPlcHdr"/>
        </w:types>
        <w:behaviors>
          <w:behavior w:val="content"/>
        </w:behaviors>
        <w:description w:val=""/>
        <w:guid w:val="{5129a75d-1fc6-40a0-8b90-d71c25cc7aeb}"/>
      </w:docPartPr>
      <w:docPartBody>
        <w:p w14:paraId="5A85D69B">
          <w:r>
            <w:rPr>
              <w:color w:val="808080"/>
            </w:rPr>
            <w:t>单击此处输入文字。</w:t>
          </w:r>
        </w:p>
      </w:docPartBody>
    </w:docPart>
    <w:docPart>
      <w:docPartPr>
        <w:name w:val="{44d0a35e-930d-4e78-9640-3ab9f8680eed}"/>
        <w:style w:val=""/>
        <w:category>
          <w:name w:val="常规"/>
          <w:gallery w:val="placeholder"/>
        </w:category>
        <w:types>
          <w:type w:val="bbPlcHdr"/>
        </w:types>
        <w:behaviors>
          <w:behavior w:val="content"/>
        </w:behaviors>
        <w:description w:val=""/>
        <w:guid w:val="{44d0a35e-930d-4e78-9640-3ab9f8680eed}"/>
      </w:docPartPr>
      <w:docPartBody>
        <w:p w14:paraId="07431E6F">
          <w:r>
            <w:rPr>
              <w:color w:val="808080"/>
            </w:rPr>
            <w:t>单击此处输入文字。</w:t>
          </w:r>
        </w:p>
      </w:docPartBody>
    </w:docPart>
    <w:docPart>
      <w:docPartPr>
        <w:name w:val="{03cc7e79-7970-4cbc-9538-5aeb5be7c2a3}"/>
        <w:style w:val=""/>
        <w:category>
          <w:name w:val="常规"/>
          <w:gallery w:val="placeholder"/>
        </w:category>
        <w:types>
          <w:type w:val="bbPlcHdr"/>
        </w:types>
        <w:behaviors>
          <w:behavior w:val="content"/>
        </w:behaviors>
        <w:description w:val=""/>
        <w:guid w:val="{03cc7e79-7970-4cbc-9538-5aeb5be7c2a3}"/>
      </w:docPartPr>
      <w:docPartBody>
        <w:p w14:paraId="37F1563E">
          <w:r>
            <w:rPr>
              <w:color w:val="808080"/>
            </w:rPr>
            <w:t>单击此处输入文字。</w:t>
          </w:r>
        </w:p>
      </w:docPartBody>
    </w:docPart>
    <w:docPart>
      <w:docPartPr>
        <w:name w:val="{50b64163-19d1-4ce8-8546-f256dfc19261}"/>
        <w:style w:val=""/>
        <w:category>
          <w:name w:val="常规"/>
          <w:gallery w:val="placeholder"/>
        </w:category>
        <w:types>
          <w:type w:val="bbPlcHdr"/>
        </w:types>
        <w:behaviors>
          <w:behavior w:val="content"/>
        </w:behaviors>
        <w:description w:val=""/>
        <w:guid w:val="{50b64163-19d1-4ce8-8546-f256dfc19261}"/>
      </w:docPartPr>
      <w:docPartBody>
        <w:p w14:paraId="6C85E215">
          <w:r>
            <w:rPr>
              <w:color w:val="808080"/>
            </w:rPr>
            <w:t>单击此处输入文字。</w:t>
          </w:r>
        </w:p>
      </w:docPartBody>
    </w:docPart>
    <w:docPart>
      <w:docPartPr>
        <w:name w:val="{68f6063c-4f90-4a93-8976-36b4d0f76597}"/>
        <w:style w:val=""/>
        <w:category>
          <w:name w:val="常规"/>
          <w:gallery w:val="placeholder"/>
        </w:category>
        <w:types>
          <w:type w:val="bbPlcHdr"/>
        </w:types>
        <w:behaviors>
          <w:behavior w:val="content"/>
        </w:behaviors>
        <w:description w:val=""/>
        <w:guid w:val="{68f6063c-4f90-4a93-8976-36b4d0f76597}"/>
      </w:docPartPr>
      <w:docPartBody>
        <w:p w14:paraId="1BEFD323">
          <w:r>
            <w:rPr>
              <w:color w:val="808080"/>
            </w:rPr>
            <w:t>单击此处输入文字。</w:t>
          </w:r>
        </w:p>
      </w:docPartBody>
    </w:docPart>
    <w:docPart>
      <w:docPartPr>
        <w:name w:val="{2d6a95af-5d61-4fa4-ad42-eba9fc5c20d0}"/>
        <w:style w:val=""/>
        <w:category>
          <w:name w:val="常规"/>
          <w:gallery w:val="placeholder"/>
        </w:category>
        <w:types>
          <w:type w:val="bbPlcHdr"/>
        </w:types>
        <w:behaviors>
          <w:behavior w:val="content"/>
        </w:behaviors>
        <w:description w:val=""/>
        <w:guid w:val="{2d6a95af-5d61-4fa4-ad42-eba9fc5c20d0}"/>
      </w:docPartPr>
      <w:docPartBody>
        <w:p w14:paraId="3162B3A6">
          <w:r>
            <w:rPr>
              <w:color w:val="808080"/>
            </w:rPr>
            <w:t>单击此处输入文字。</w:t>
          </w:r>
        </w:p>
      </w:docPartBody>
    </w:docPart>
    <w:docPart>
      <w:docPartPr>
        <w:name w:val="{531e90bf-4830-4287-8db3-d5c7dbd1747b}"/>
        <w:style w:val=""/>
        <w:category>
          <w:name w:val="常规"/>
          <w:gallery w:val="placeholder"/>
        </w:category>
        <w:types>
          <w:type w:val="bbPlcHdr"/>
        </w:types>
        <w:behaviors>
          <w:behavior w:val="content"/>
        </w:behaviors>
        <w:description w:val=""/>
        <w:guid w:val="{531e90bf-4830-4287-8db3-d5c7dbd1747b}"/>
      </w:docPartPr>
      <w:docPartBody>
        <w:p w14:paraId="5FB80B1B">
          <w:r>
            <w:rPr>
              <w:color w:val="808080"/>
            </w:rPr>
            <w:t>单击此处输入文字。</w:t>
          </w:r>
        </w:p>
      </w:docPartBody>
    </w:docPart>
    <w:docPart>
      <w:docPartPr>
        <w:name w:val="{c4536fab-6a71-437a-9cee-21c1ac34344c}"/>
        <w:style w:val=""/>
        <w:category>
          <w:name w:val="常规"/>
          <w:gallery w:val="placeholder"/>
        </w:category>
        <w:types>
          <w:type w:val="bbPlcHdr"/>
        </w:types>
        <w:behaviors>
          <w:behavior w:val="content"/>
        </w:behaviors>
        <w:description w:val=""/>
        <w:guid w:val="{c4536fab-6a71-437a-9cee-21c1ac34344c}"/>
      </w:docPartPr>
      <w:docPartBody>
        <w:p w14:paraId="6A19BCCB">
          <w:r>
            <w:rPr>
              <w:color w:val="808080"/>
            </w:rPr>
            <w:t>单击此处输入文字。</w:t>
          </w:r>
        </w:p>
      </w:docPartBody>
    </w:docPart>
    <w:docPart>
      <w:docPartPr>
        <w:name w:val="{46c27de9-eb02-4ba7-a8a0-f8600e028fde}"/>
        <w:style w:val=""/>
        <w:category>
          <w:name w:val="常规"/>
          <w:gallery w:val="placeholder"/>
        </w:category>
        <w:types>
          <w:type w:val="bbPlcHdr"/>
        </w:types>
        <w:behaviors>
          <w:behavior w:val="content"/>
        </w:behaviors>
        <w:description w:val=""/>
        <w:guid w:val="{46c27de9-eb02-4ba7-a8a0-f8600e028fde}"/>
      </w:docPartPr>
      <w:docPartBody>
        <w:p w14:paraId="4E0565E2">
          <w:r>
            <w:rPr>
              <w:color w:val="808080"/>
            </w:rPr>
            <w:t>单击此处输入文字。</w:t>
          </w:r>
        </w:p>
      </w:docPartBody>
    </w:docPart>
    <w:docPart>
      <w:docPartPr>
        <w:name w:val="{9282b4cd-bbff-412b-b9e3-8f3f59b03bdd}"/>
        <w:style w:val=""/>
        <w:category>
          <w:name w:val="常规"/>
          <w:gallery w:val="placeholder"/>
        </w:category>
        <w:types>
          <w:type w:val="bbPlcHdr"/>
        </w:types>
        <w:behaviors>
          <w:behavior w:val="content"/>
        </w:behaviors>
        <w:description w:val=""/>
        <w:guid w:val="{9282b4cd-bbff-412b-b9e3-8f3f59b03bdd}"/>
      </w:docPartPr>
      <w:docPartBody>
        <w:p w14:paraId="67062F27">
          <w:r>
            <w:rPr>
              <w:color w:val="808080"/>
            </w:rPr>
            <w:t>单击此处输入文字。</w:t>
          </w:r>
        </w:p>
      </w:docPartBody>
    </w:docPart>
    <w:docPart>
      <w:docPartPr>
        <w:name w:val="{09b3ed87-7d3e-4f6b-a742-e925e4c94880}"/>
        <w:style w:val=""/>
        <w:category>
          <w:name w:val="常规"/>
          <w:gallery w:val="placeholder"/>
        </w:category>
        <w:types>
          <w:type w:val="bbPlcHdr"/>
        </w:types>
        <w:behaviors>
          <w:behavior w:val="content"/>
        </w:behaviors>
        <w:description w:val=""/>
        <w:guid w:val="{09b3ed87-7d3e-4f6b-a742-e925e4c94880}"/>
      </w:docPartPr>
      <w:docPartBody>
        <w:p w14:paraId="2A0B3B13">
          <w:r>
            <w:rPr>
              <w:color w:val="808080"/>
            </w:rPr>
            <w:t>单击此处输入文字。</w:t>
          </w:r>
        </w:p>
      </w:docPartBody>
    </w:docPart>
    <w:docPart>
      <w:docPartPr>
        <w:name w:val="{e4e6ba5a-bd8c-4b35-aab3-068e7c58abab}"/>
        <w:style w:val=""/>
        <w:category>
          <w:name w:val="常规"/>
          <w:gallery w:val="placeholder"/>
        </w:category>
        <w:types>
          <w:type w:val="bbPlcHdr"/>
        </w:types>
        <w:behaviors>
          <w:behavior w:val="content"/>
        </w:behaviors>
        <w:description w:val=""/>
        <w:guid w:val="{e4e6ba5a-bd8c-4b35-aab3-068e7c58abab}"/>
      </w:docPartPr>
      <w:docPartBody>
        <w:p w14:paraId="177E5985">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5937</Words>
  <Characters>6291</Characters>
  <Lines>0</Lines>
  <Paragraphs>0</Paragraphs>
  <TotalTime>22</TotalTime>
  <ScaleCrop>false</ScaleCrop>
  <LinksUpToDate>false</LinksUpToDate>
  <CharactersWithSpaces>6318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Administrator.USER-20190219TB</dc:creator>
  <cp:lastModifiedBy>网联科技</cp:lastModifiedBy>
  <dcterms:modified xsi:type="dcterms:W3CDTF">2025-09-29T02:01:15Z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5B88EA6258084C3F93EB608D9038A0B8</vt:lpwstr>
  </property>
  <property fmtid="{D5CDD505-2E9C-101B-9397-08002B2CF9AE}" pid="4" name="KSOTemplateDocerSaveRecord">
    <vt:lpwstr>eyJoZGlkIjoiMDE0ZmE0NmQ5NmFhNjhlOTdiY2NhNTRhNDQyZTE0ZjAiLCJ1c2VySWQiOiI5NDY0MDAxIn0=</vt:lpwstr>
  </property>
</Properties>
</file>