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31D945">
      <w:pPr>
        <w:spacing w:line="560" w:lineRule="exact"/>
        <w:ind w:firstLine="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14:paraId="49E9C3F7">
      <w:pPr>
        <w:spacing w:line="560" w:lineRule="exact"/>
        <w:ind w:firstLine="0" w:firstLineChars="0"/>
        <w:jc w:val="left"/>
        <w:rPr>
          <w:rFonts w:hint="default" w:ascii="方正小标宋简体" w:hAnsi="方正小标宋简体" w:eastAsia="方正小标宋简体" w:cs="方正小标宋简体"/>
          <w:sz w:val="44"/>
          <w:szCs w:val="44"/>
          <w:lang w:val="en-US" w:eastAsia="zh-CN"/>
        </w:rPr>
      </w:pPr>
    </w:p>
    <w:p w14:paraId="36EC8423">
      <w:pPr>
        <w:spacing w:line="560" w:lineRule="exact"/>
        <w:ind w:firstLine="0" w:firstLineChars="0"/>
        <w:jc w:val="center"/>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rPr>
        <w:t>关于防范政府投资项目过度设计的若干措施</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试行</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征求意见稿</w:t>
      </w:r>
      <w:r>
        <w:rPr>
          <w:rFonts w:hint="eastAsia" w:ascii="方正小标宋简体" w:hAnsi="方正小标宋简体" w:eastAsia="方正小标宋简体" w:cs="方正小标宋简体"/>
          <w:sz w:val="44"/>
          <w:szCs w:val="44"/>
          <w:lang w:eastAsia="zh-CN"/>
        </w:rPr>
        <w:t>）</w:t>
      </w:r>
      <w:bookmarkEnd w:id="0"/>
    </w:p>
    <w:p w14:paraId="24E9F43B">
      <w:pPr>
        <w:spacing w:line="560" w:lineRule="exact"/>
        <w:ind w:firstLine="640"/>
        <w:rPr>
          <w:rFonts w:hint="eastAsia" w:cs="仿宋_GB2312"/>
        </w:rPr>
      </w:pPr>
    </w:p>
    <w:p w14:paraId="6A8961B9">
      <w:pPr>
        <w:spacing w:line="560" w:lineRule="exact"/>
        <w:ind w:firstLine="640"/>
        <w:rPr>
          <w:rFonts w:hint="eastAsia" w:cs="仿宋_GB2312"/>
        </w:rPr>
      </w:pPr>
      <w:r>
        <w:rPr>
          <w:rFonts w:hint="eastAsia" w:cs="仿宋_GB2312"/>
        </w:rPr>
        <w:t>为进一步完善政府投资项目管理，严防过度设计、奢华铺张及其他超出实际使用功能的设计行为，按照“简单、实用、有效”原则，结合我市实际，制定以下措施。</w:t>
      </w:r>
    </w:p>
    <w:p w14:paraId="49ED074D">
      <w:pPr>
        <w:spacing w:line="560" w:lineRule="exact"/>
        <w:ind w:left="640" w:firstLine="0" w:firstLineChars="0"/>
        <w:rPr>
          <w:rFonts w:hint="eastAsia" w:eastAsia="黑体" w:cs="黑体"/>
        </w:rPr>
      </w:pPr>
      <w:r>
        <w:rPr>
          <w:rFonts w:hint="eastAsia" w:eastAsia="黑体" w:cs="黑体"/>
        </w:rPr>
        <w:t>一、强化项目决策和论证</w:t>
      </w:r>
    </w:p>
    <w:p w14:paraId="59CBD2D6">
      <w:pPr>
        <w:spacing w:line="560" w:lineRule="exact"/>
        <w:ind w:firstLine="643"/>
        <w:rPr>
          <w:rFonts w:hint="eastAsia" w:cs="仿宋_GB2312"/>
        </w:rPr>
      </w:pPr>
      <w:r>
        <w:rPr>
          <w:rFonts w:hint="eastAsia" w:eastAsia="楷体_GB2312" w:cs="仿宋_GB2312"/>
          <w:b/>
          <w:bCs/>
        </w:rPr>
        <w:t>1.严格项目决策管理</w:t>
      </w:r>
      <w:r>
        <w:rPr>
          <w:rFonts w:hint="eastAsia" w:eastAsia="楷体_GB2312" w:cs="仿宋_GB2312"/>
          <w:b/>
          <w:bCs/>
          <w:lang w:val="en"/>
        </w:rPr>
        <w:t>。</w:t>
      </w:r>
      <w:r>
        <w:rPr>
          <w:rFonts w:hint="eastAsia" w:cs="仿宋_GB2312"/>
        </w:rPr>
        <w:t>坚持“适度超前、不过度超前”谋划布局项目，避免过度超前和低水平重复建设。充分考虑我市经济发展现状和财力水平，坚持量入为出、量力而行，禁止铺张浪费、奢侈奢华建设。各行业主管部门须在方案设计阶段强化建设标准审核，确保其符合功能需求和财力水平，防止标准过高、脱离实际并在后续环节固化执行</w:t>
      </w:r>
      <w:r>
        <w:rPr>
          <w:rFonts w:hint="eastAsia" w:cs="仿宋_GB2312"/>
          <w:lang w:eastAsia="zh-CN"/>
        </w:rPr>
        <w:t>。</w:t>
      </w:r>
      <w:r>
        <w:rPr>
          <w:rFonts w:hint="eastAsia" w:cs="仿宋_GB2312"/>
        </w:rPr>
        <w:t>未经发展改革、财政及行业主管部门联合审核的项目，不得纳入政府投资项目库。</w:t>
      </w:r>
    </w:p>
    <w:p w14:paraId="30DFB89B">
      <w:p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2.深化可承受能力评估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重大项目在报发展改革部门论证时，必须同步按规定报财政部门开展财政可承受能力评估。评估论证应重点聚焦项目的必要性、合理性、经济性，确保资金来源可靠且不新增政府隐性债务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评估金额作为发改部门立项批复造价的上限，</w:t>
      </w:r>
      <w:r>
        <w:rPr>
          <w:rFonts w:hint="eastAsia" w:ascii="仿宋_GB2312" w:hAnsi="仿宋_GB2312" w:eastAsia="仿宋_GB2312" w:cs="仿宋_GB2312"/>
          <w:sz w:val="32"/>
          <w:szCs w:val="32"/>
        </w:rPr>
        <w:t>未通过评估的项目不予审批</w:t>
      </w:r>
      <w:r>
        <w:rPr>
          <w:rFonts w:hint="eastAsia" w:ascii="仿宋_GB2312" w:hAnsi="仿宋_GB2312" w:cs="仿宋_GB2312"/>
          <w:sz w:val="32"/>
          <w:szCs w:val="32"/>
          <w:lang w:eastAsia="zh-CN"/>
        </w:rPr>
        <w:t>。</w:t>
      </w:r>
    </w:p>
    <w:p w14:paraId="4868BC9F">
      <w:pPr>
        <w:spacing w:line="560" w:lineRule="exact"/>
        <w:ind w:firstLine="640"/>
        <w:rPr>
          <w:rFonts w:hint="eastAsia" w:eastAsia="黑体" w:cs="黑体"/>
        </w:rPr>
      </w:pPr>
      <w:r>
        <w:rPr>
          <w:rFonts w:hint="eastAsia" w:eastAsia="黑体" w:cs="黑体"/>
        </w:rPr>
        <w:t>二、坚持限额设计和标准控制</w:t>
      </w:r>
    </w:p>
    <w:p w14:paraId="4CCC61BB">
      <w:pPr>
        <w:spacing w:line="560" w:lineRule="exact"/>
        <w:ind w:firstLine="643"/>
        <w:rPr>
          <w:rFonts w:hint="eastAsia" w:cs="仿宋_GB2312"/>
        </w:rPr>
      </w:pPr>
      <w:r>
        <w:rPr>
          <w:rFonts w:hint="eastAsia" w:eastAsia="楷体_GB2312" w:cs="仿宋_GB2312"/>
          <w:b/>
          <w:bCs/>
        </w:rPr>
        <w:t>3.严格实行限额设计。</w:t>
      </w:r>
      <w:r>
        <w:rPr>
          <w:rFonts w:hint="eastAsia" w:cs="仿宋_GB2312"/>
        </w:rPr>
        <w:t>以估算控制概算、概算控制预算、预算控制决算。项目单位必须按照已批复的建设规模、建设标准、投资估算为依据，在批复投资估算的限额范围内进行初步设计和施工图设计，原则上建设项目总概算不超过批复的投资估算，施工图预算不超过设计概算。</w:t>
      </w:r>
    </w:p>
    <w:p w14:paraId="604751BE">
      <w:pPr>
        <w:spacing w:line="560" w:lineRule="exact"/>
        <w:ind w:firstLine="643"/>
        <w:rPr>
          <w:rFonts w:hint="eastAsia" w:cs="仿宋_GB2312"/>
        </w:rPr>
      </w:pPr>
      <w:r>
        <w:rPr>
          <w:rFonts w:hint="eastAsia" w:eastAsia="楷体_GB2312" w:cs="仿宋_GB2312"/>
          <w:b/>
          <w:bCs/>
        </w:rPr>
        <w:t>4.执行刚性造价控制标准。</w:t>
      </w:r>
      <w:r>
        <w:rPr>
          <w:rFonts w:hint="eastAsia" w:cs="仿宋_GB2312"/>
        </w:rPr>
        <w:t>公共服务类建筑及园林绿化工程预算编制不得超过项目概预算和我市公布的造价控制上限标准。装修材料原则上采用国内市场中等档次，绿化苗木优先采用本地树种及中小规格苗木，严禁豪华装修、彩化亮化、大型水景、具有特殊观赏性的造型苗木等。</w:t>
      </w:r>
    </w:p>
    <w:p w14:paraId="722469E0">
      <w:pPr>
        <w:spacing w:line="560" w:lineRule="exact"/>
        <w:ind w:firstLine="640"/>
        <w:rPr>
          <w:rFonts w:hint="eastAsia" w:eastAsia="黑体" w:cs="黑体"/>
        </w:rPr>
      </w:pPr>
      <w:r>
        <w:rPr>
          <w:rFonts w:hint="eastAsia" w:eastAsia="黑体" w:cs="黑体"/>
        </w:rPr>
        <w:t>三、加强施工图评审和预算评审</w:t>
      </w:r>
    </w:p>
    <w:p w14:paraId="756F4956">
      <w:pPr>
        <w:spacing w:line="560" w:lineRule="exact"/>
        <w:ind w:firstLine="643"/>
        <w:rPr>
          <w:rFonts w:hint="eastAsia" w:cs="仿宋_GB2312"/>
        </w:rPr>
      </w:pPr>
      <w:r>
        <w:rPr>
          <w:rFonts w:hint="eastAsia" w:eastAsia="楷体_GB2312" w:cs="仿宋_GB2312"/>
          <w:b/>
          <w:bCs/>
        </w:rPr>
        <w:t>5.落实施工图经济性评审。</w:t>
      </w:r>
      <w:r>
        <w:rPr>
          <w:rFonts w:hint="eastAsia" w:cs="仿宋_GB2312"/>
        </w:rPr>
        <w:t>对工程造价400万元以上的公共服务类建筑及园林绿化项目，建设单位必须在施工图设计完成后、报送技术审查前，主动向财政部门申请经济性评审。评审重点包括结构配筋合理性、构件尺寸选型经济性、材料设备选型性价比、装修标准适用性、建筑节能措施有效性等。评审机构应在受理后10个工作日内完成评审并提出优化建议。</w:t>
      </w:r>
    </w:p>
    <w:p w14:paraId="4D35EDBB">
      <w:pPr>
        <w:spacing w:line="560" w:lineRule="exact"/>
        <w:ind w:firstLine="643"/>
        <w:rPr>
          <w:rFonts w:hint="eastAsia" w:cs="仿宋_GB2312"/>
        </w:rPr>
      </w:pPr>
      <w:r>
        <w:rPr>
          <w:rFonts w:hint="eastAsia" w:eastAsia="楷体_GB2312" w:cs="仿宋_GB2312"/>
          <w:b/>
          <w:bCs/>
        </w:rPr>
        <w:t>6.严格预算评审把关。</w:t>
      </w:r>
      <w:r>
        <w:rPr>
          <w:rFonts w:hint="eastAsia" w:cs="仿宋_GB2312"/>
          <w:lang w:eastAsia="zh"/>
        </w:rPr>
        <w:t>预算评审须以财政部门最终确认的优化方案为前提。重点复核工程量是否一致、材料设备是否按中档品牌执行、总额是否在概算及造价控制范围内。对未落实财政部门经济性评审意见或材料选型超标的，责令重新调整预算。</w:t>
      </w:r>
    </w:p>
    <w:p w14:paraId="5399C5EF">
      <w:pPr>
        <w:spacing w:line="560" w:lineRule="exact"/>
        <w:ind w:firstLine="640"/>
        <w:rPr>
          <w:rFonts w:hint="eastAsia" w:eastAsia="黑体" w:cs="黑体"/>
        </w:rPr>
      </w:pPr>
      <w:r>
        <w:rPr>
          <w:rFonts w:hint="eastAsia" w:eastAsia="黑体" w:cs="黑体"/>
        </w:rPr>
        <w:t>四、严控工程增量和设计变更</w:t>
      </w:r>
    </w:p>
    <w:p w14:paraId="44CA83F0">
      <w:pPr>
        <w:spacing w:line="560" w:lineRule="exact"/>
        <w:ind w:firstLine="643"/>
        <w:rPr>
          <w:rFonts w:hint="eastAsia" w:cs="仿宋_GB2312"/>
        </w:rPr>
      </w:pPr>
      <w:r>
        <w:rPr>
          <w:rFonts w:hint="eastAsia" w:eastAsia="楷体_GB2312" w:cs="仿宋_GB2312"/>
          <w:b/>
          <w:bCs/>
        </w:rPr>
        <w:t>7.刚性约束工程变更。</w:t>
      </w:r>
      <w:r>
        <w:rPr>
          <w:rFonts w:hint="eastAsia" w:cs="仿宋_GB2312"/>
          <w:lang w:eastAsia="zh"/>
        </w:rPr>
        <w:t>严禁未批先建、拆分项目、批大建小。确需变更的，须合规并在实施前办理审批手续。实施后补办的，结算原则上不予认可。同一合同项下累计变更（增、减量绝对值之和）达合同价10%时，自动触发全面审核。采用工程总承包（EPC）模式的项目，除政策调整、不可抗力外，原则上不予审批项目变更。</w:t>
      </w:r>
    </w:p>
    <w:p w14:paraId="2CB6752D">
      <w:pPr>
        <w:spacing w:line="560" w:lineRule="exact"/>
        <w:ind w:firstLine="640"/>
        <w:rPr>
          <w:rFonts w:hint="eastAsia" w:eastAsia="黑体" w:cs="黑体"/>
        </w:rPr>
      </w:pPr>
      <w:r>
        <w:rPr>
          <w:rFonts w:hint="eastAsia" w:eastAsia="黑体" w:cs="黑体"/>
        </w:rPr>
        <w:t>五、强化全过程监管与责任追究</w:t>
      </w:r>
    </w:p>
    <w:p w14:paraId="301AC84B">
      <w:pPr>
        <w:spacing w:line="560" w:lineRule="exact"/>
        <w:ind w:firstLine="643"/>
        <w:rPr>
          <w:rFonts w:hint="eastAsia" w:cs="仿宋_GB2312"/>
          <w:b/>
          <w:bCs/>
        </w:rPr>
      </w:pPr>
      <w:r>
        <w:rPr>
          <w:rFonts w:hint="eastAsia" w:eastAsia="楷体_GB2312" w:cs="仿宋_GB2312"/>
          <w:b/>
          <w:bCs/>
        </w:rPr>
        <w:t>8.压实过程监管责任。</w:t>
      </w:r>
      <w:r>
        <w:rPr>
          <w:rFonts w:hint="eastAsia" w:cs="仿宋_GB2312"/>
          <w:lang w:eastAsia="zh"/>
        </w:rPr>
        <w:t>发展改革部门牵头加强事中事后监管及后评价</w:t>
      </w:r>
      <w:r>
        <w:rPr>
          <w:rFonts w:hint="eastAsia" w:cs="仿宋_GB2312"/>
        </w:rPr>
        <w:t>，负责组织对项目可行性研究报告、初步设计等文件评估（含委托评估或专家评议），重点审查是否存在过度设计、偏高建设标准、不合理技术经济性能等问题</w:t>
      </w:r>
      <w:r>
        <w:rPr>
          <w:rFonts w:hint="eastAsia" w:cs="仿宋_GB2312"/>
          <w:lang w:eastAsia="zh"/>
        </w:rPr>
        <w:t>。行业主管部门监督按图施工，及时处罚违规。财政部门将概算执行作为资金拨付前置条件，对异常项目暂停拨付，整改后恢复。代建单位对投资概算负全过程监管责任。</w:t>
      </w:r>
    </w:p>
    <w:p w14:paraId="5DE6608D">
      <w:pPr>
        <w:spacing w:line="560" w:lineRule="exact"/>
        <w:ind w:firstLine="643"/>
        <w:rPr>
          <w:rFonts w:hint="eastAsia" w:cs="仿宋_GB2312"/>
        </w:rPr>
      </w:pPr>
      <w:r>
        <w:rPr>
          <w:rFonts w:hint="eastAsia" w:eastAsia="楷体_GB2312" w:cs="仿宋_GB2312"/>
          <w:b/>
          <w:bCs/>
        </w:rPr>
        <w:t>9.完善信用管理与联合惩戒。</w:t>
      </w:r>
      <w:r>
        <w:rPr>
          <w:rFonts w:hint="eastAsia" w:cs="仿宋_GB2312"/>
          <w:lang w:eastAsia="zh"/>
        </w:rPr>
        <w:t>完善信用管理与联合惩戒。建立设计质量信用评价制度，对屡次过度设计</w:t>
      </w:r>
      <w:r>
        <w:rPr>
          <w:rFonts w:hint="eastAsia" w:cs="仿宋_GB2312"/>
          <w:lang w:eastAsia="zh-CN"/>
        </w:rPr>
        <w:t>的单位</w:t>
      </w:r>
      <w:r>
        <w:rPr>
          <w:rFonts w:hint="eastAsia" w:cs="仿宋_GB2312"/>
          <w:lang w:eastAsia="zh"/>
        </w:rPr>
        <w:t>，由</w:t>
      </w:r>
      <w:r>
        <w:rPr>
          <w:rFonts w:hint="eastAsia" w:cs="仿宋_GB2312"/>
        </w:rPr>
        <w:t>行业主管</w:t>
      </w:r>
      <w:r>
        <w:rPr>
          <w:rFonts w:hint="eastAsia" w:cs="仿宋_GB2312"/>
          <w:lang w:eastAsia="zh"/>
        </w:rPr>
        <w:t>部门纳入不良记录并公示</w:t>
      </w:r>
      <w:r>
        <w:rPr>
          <w:rFonts w:hint="eastAsia" w:cs="仿宋_GB2312"/>
        </w:rPr>
        <w:t>，预留设计费的20%作为限额设计履约保证金，因设计原因导致超概算投资或</w:t>
      </w:r>
      <w:r>
        <w:rPr>
          <w:rFonts w:hint="eastAsia" w:cs="仿宋_GB2312"/>
          <w:lang w:eastAsia="zh"/>
        </w:rPr>
        <w:t>预算审减率超10%</w:t>
      </w:r>
      <w:r>
        <w:rPr>
          <w:rFonts w:hint="eastAsia" w:cs="仿宋_GB2312"/>
        </w:rPr>
        <w:t>，按合同约定没收保证金。</w:t>
      </w:r>
      <w:r>
        <w:rPr>
          <w:rFonts w:hint="eastAsia" w:cs="仿宋_GB2312"/>
          <w:lang w:eastAsia="zh"/>
        </w:rPr>
        <w:t>对规避评审、故意超标、违规拆分、提供不实材料等行为，由发展改革、财政、住建等</w:t>
      </w:r>
      <w:r>
        <w:rPr>
          <w:rFonts w:hint="eastAsia" w:cs="仿宋_GB2312"/>
        </w:rPr>
        <w:t>行业主管</w:t>
      </w:r>
      <w:r>
        <w:rPr>
          <w:rFonts w:hint="eastAsia" w:cs="仿宋_GB2312"/>
          <w:lang w:eastAsia="zh"/>
        </w:rPr>
        <w:t>部门实施联合惩戒。</w:t>
      </w:r>
    </w:p>
    <w:p w14:paraId="71C8B425">
      <w:pPr>
        <w:spacing w:line="560" w:lineRule="exact"/>
        <w:ind w:firstLine="640"/>
        <w:rPr>
          <w:rFonts w:hint="eastAsia" w:eastAsia="仿宋_GB2312"/>
          <w:lang w:eastAsia="zh-CN"/>
        </w:rPr>
      </w:pPr>
      <w:r>
        <w:rPr>
          <w:rFonts w:hint="eastAsia" w:cs="仿宋_GB2312"/>
        </w:rPr>
        <w:t>本措施自发布之日起施行。以往规定与本措施不一致的，以本措施为准。本办法具体解释工作由市发展改革委会同有关部门承担</w:t>
      </w:r>
      <w:r>
        <w:rPr>
          <w:rFonts w:hint="eastAsia" w:cs="仿宋_GB2312"/>
          <w:lang w:eastAsia="zh-CN"/>
        </w:rPr>
        <w:t>。</w:t>
      </w:r>
    </w:p>
    <w:p w14:paraId="55F51049">
      <w:pPr>
        <w:spacing w:line="40" w:lineRule="exact"/>
        <w:ind w:firstLine="640"/>
        <w:rPr>
          <w:rFonts w:hint="eastAsia"/>
        </w:rPr>
      </w:pPr>
    </w:p>
    <w:sectPr>
      <w:footerReference r:id="rId5" w:type="default"/>
      <w:pgSz w:w="11906" w:h="16838"/>
      <w:pgMar w:top="2098" w:right="1587" w:bottom="2098" w:left="1588" w:header="851" w:footer="1304" w:gutter="0"/>
      <w:cols w:space="720" w:num="1"/>
      <w:docGrid w:type="line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02187B-B583-416B-B1CE-74D405C39B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6B3FF646-B878-404F-99A6-7BD5D10B118D}"/>
  </w:font>
  <w:font w:name="方正小标宋简体">
    <w:panose1 w:val="03000509000000000000"/>
    <w:charset w:val="86"/>
    <w:family w:val="auto"/>
    <w:pitch w:val="default"/>
    <w:sig w:usb0="00000001" w:usb1="080E0000" w:usb2="00000000" w:usb3="00000000" w:csb0="00040000" w:csb1="00000000"/>
    <w:embedRegular r:id="rId3" w:fontKey="{8127D87D-9E50-453B-AD81-DB816CCCDEDC}"/>
  </w:font>
  <w:font w:name="楷体_GB2312">
    <w:panose1 w:val="02010609030101010101"/>
    <w:charset w:val="86"/>
    <w:family w:val="modern"/>
    <w:pitch w:val="default"/>
    <w:sig w:usb0="00000001" w:usb1="080E0000" w:usb2="00000000" w:usb3="00000000" w:csb0="00040000" w:csb1="00000000"/>
    <w:embedRegular r:id="rId4" w:fontKey="{EA164F78-02EC-4DB1-BEF1-83EC78FDA6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853C5">
    <w:pPr>
      <w:pStyle w:val="5"/>
      <w:framePr w:wrap="around" w:vAnchor="text" w:hAnchor="margin" w:xAlign="outside" w:y="1"/>
      <w:ind w:firstLine="560"/>
      <w:rPr>
        <w:rStyle w:val="11"/>
        <w:rFonts w:hint="eastAsia"/>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2</w:t>
    </w:r>
    <w:r>
      <w:rPr>
        <w:rStyle w:val="11"/>
        <w:sz w:val="28"/>
        <w:szCs w:val="28"/>
      </w:rPr>
      <w:fldChar w:fldCharType="end"/>
    </w:r>
    <w:r>
      <w:rPr>
        <w:rStyle w:val="11"/>
        <w:rFonts w:hint="eastAsia"/>
        <w:sz w:val="28"/>
        <w:szCs w:val="28"/>
      </w:rPr>
      <w:t xml:space="preserve"> —</w:t>
    </w:r>
  </w:p>
  <w:p w14:paraId="2A43112D">
    <w:pPr>
      <w:pStyle w:val="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7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395"/>
    <w:rsid w:val="000100A4"/>
    <w:rsid w:val="000122E3"/>
    <w:rsid w:val="00013243"/>
    <w:rsid w:val="0002055F"/>
    <w:rsid w:val="000222C6"/>
    <w:rsid w:val="00022ADE"/>
    <w:rsid w:val="00022FDC"/>
    <w:rsid w:val="00023850"/>
    <w:rsid w:val="00030070"/>
    <w:rsid w:val="0003115E"/>
    <w:rsid w:val="00034FCE"/>
    <w:rsid w:val="000376AF"/>
    <w:rsid w:val="000470D1"/>
    <w:rsid w:val="00052707"/>
    <w:rsid w:val="00056D62"/>
    <w:rsid w:val="00081222"/>
    <w:rsid w:val="00083AA2"/>
    <w:rsid w:val="000850B4"/>
    <w:rsid w:val="000900F9"/>
    <w:rsid w:val="000961EC"/>
    <w:rsid w:val="000967E9"/>
    <w:rsid w:val="00097ADB"/>
    <w:rsid w:val="000A18D0"/>
    <w:rsid w:val="000A233D"/>
    <w:rsid w:val="000A2842"/>
    <w:rsid w:val="000A2E19"/>
    <w:rsid w:val="000A3DEC"/>
    <w:rsid w:val="000A6288"/>
    <w:rsid w:val="000B175A"/>
    <w:rsid w:val="000B565C"/>
    <w:rsid w:val="000D61E8"/>
    <w:rsid w:val="000D6E7B"/>
    <w:rsid w:val="000D787B"/>
    <w:rsid w:val="000E1231"/>
    <w:rsid w:val="000E31C5"/>
    <w:rsid w:val="000E3E7F"/>
    <w:rsid w:val="000E4D2E"/>
    <w:rsid w:val="000E5DC1"/>
    <w:rsid w:val="000E6386"/>
    <w:rsid w:val="000F2B45"/>
    <w:rsid w:val="000F460D"/>
    <w:rsid w:val="000F5616"/>
    <w:rsid w:val="000F6D01"/>
    <w:rsid w:val="0011360E"/>
    <w:rsid w:val="00124FC8"/>
    <w:rsid w:val="00133A37"/>
    <w:rsid w:val="00142479"/>
    <w:rsid w:val="00155FE9"/>
    <w:rsid w:val="00161BBF"/>
    <w:rsid w:val="001713FA"/>
    <w:rsid w:val="00185C1A"/>
    <w:rsid w:val="001911FB"/>
    <w:rsid w:val="001A1DA5"/>
    <w:rsid w:val="001B04E8"/>
    <w:rsid w:val="001B7636"/>
    <w:rsid w:val="001C26EC"/>
    <w:rsid w:val="001C3E86"/>
    <w:rsid w:val="001D4C14"/>
    <w:rsid w:val="001D5154"/>
    <w:rsid w:val="001D5D36"/>
    <w:rsid w:val="001D6130"/>
    <w:rsid w:val="001E15BD"/>
    <w:rsid w:val="001E3C06"/>
    <w:rsid w:val="001E7164"/>
    <w:rsid w:val="001E750C"/>
    <w:rsid w:val="001E7E62"/>
    <w:rsid w:val="001F5A26"/>
    <w:rsid w:val="00206770"/>
    <w:rsid w:val="00206D33"/>
    <w:rsid w:val="00207F3B"/>
    <w:rsid w:val="00211F60"/>
    <w:rsid w:val="002135D6"/>
    <w:rsid w:val="00214469"/>
    <w:rsid w:val="00216634"/>
    <w:rsid w:val="002213AE"/>
    <w:rsid w:val="002220AF"/>
    <w:rsid w:val="0022586C"/>
    <w:rsid w:val="00225BAE"/>
    <w:rsid w:val="00225E83"/>
    <w:rsid w:val="00226B5A"/>
    <w:rsid w:val="002306FE"/>
    <w:rsid w:val="00231326"/>
    <w:rsid w:val="00232515"/>
    <w:rsid w:val="00233259"/>
    <w:rsid w:val="002469B4"/>
    <w:rsid w:val="00252828"/>
    <w:rsid w:val="0025605A"/>
    <w:rsid w:val="00256926"/>
    <w:rsid w:val="00257140"/>
    <w:rsid w:val="002609C7"/>
    <w:rsid w:val="00264CE3"/>
    <w:rsid w:val="00266D5E"/>
    <w:rsid w:val="00270FD5"/>
    <w:rsid w:val="00281598"/>
    <w:rsid w:val="00282F48"/>
    <w:rsid w:val="0028658E"/>
    <w:rsid w:val="00292A07"/>
    <w:rsid w:val="00294B83"/>
    <w:rsid w:val="002953EF"/>
    <w:rsid w:val="00296AAE"/>
    <w:rsid w:val="002A30F6"/>
    <w:rsid w:val="002A5E62"/>
    <w:rsid w:val="002A60DB"/>
    <w:rsid w:val="002B1A30"/>
    <w:rsid w:val="002B49CA"/>
    <w:rsid w:val="002B6F39"/>
    <w:rsid w:val="002C5079"/>
    <w:rsid w:val="002C6856"/>
    <w:rsid w:val="002C6C1C"/>
    <w:rsid w:val="002C7EBF"/>
    <w:rsid w:val="002C7FAF"/>
    <w:rsid w:val="002D1B3F"/>
    <w:rsid w:val="002D7EB7"/>
    <w:rsid w:val="002E1031"/>
    <w:rsid w:val="002E2F3B"/>
    <w:rsid w:val="002E3FB5"/>
    <w:rsid w:val="002F1A4E"/>
    <w:rsid w:val="002F4E9B"/>
    <w:rsid w:val="002F5152"/>
    <w:rsid w:val="00300825"/>
    <w:rsid w:val="003104E4"/>
    <w:rsid w:val="00331767"/>
    <w:rsid w:val="00332C97"/>
    <w:rsid w:val="00333E86"/>
    <w:rsid w:val="00335F7B"/>
    <w:rsid w:val="0034191B"/>
    <w:rsid w:val="00341C5F"/>
    <w:rsid w:val="003425C4"/>
    <w:rsid w:val="0034438C"/>
    <w:rsid w:val="00346755"/>
    <w:rsid w:val="003537D0"/>
    <w:rsid w:val="00355D59"/>
    <w:rsid w:val="00360CD5"/>
    <w:rsid w:val="003615FE"/>
    <w:rsid w:val="003647C6"/>
    <w:rsid w:val="00365E28"/>
    <w:rsid w:val="0037395B"/>
    <w:rsid w:val="00374F19"/>
    <w:rsid w:val="0038053D"/>
    <w:rsid w:val="00380D8B"/>
    <w:rsid w:val="00381A95"/>
    <w:rsid w:val="00385A3E"/>
    <w:rsid w:val="00397D42"/>
    <w:rsid w:val="003A3F90"/>
    <w:rsid w:val="003A5919"/>
    <w:rsid w:val="003B2D99"/>
    <w:rsid w:val="003B5438"/>
    <w:rsid w:val="003B7BA6"/>
    <w:rsid w:val="003C1469"/>
    <w:rsid w:val="003C29DE"/>
    <w:rsid w:val="003C329C"/>
    <w:rsid w:val="003C3A18"/>
    <w:rsid w:val="003C62B3"/>
    <w:rsid w:val="003C7714"/>
    <w:rsid w:val="003D2C51"/>
    <w:rsid w:val="003D3DB1"/>
    <w:rsid w:val="003D4C68"/>
    <w:rsid w:val="003E2E2B"/>
    <w:rsid w:val="003F16BC"/>
    <w:rsid w:val="003F240E"/>
    <w:rsid w:val="003F7EC2"/>
    <w:rsid w:val="0040412B"/>
    <w:rsid w:val="00404ED7"/>
    <w:rsid w:val="00406670"/>
    <w:rsid w:val="00407646"/>
    <w:rsid w:val="00410C1B"/>
    <w:rsid w:val="00416BAB"/>
    <w:rsid w:val="00422F02"/>
    <w:rsid w:val="00432643"/>
    <w:rsid w:val="004354ED"/>
    <w:rsid w:val="004426B7"/>
    <w:rsid w:val="0044662E"/>
    <w:rsid w:val="00453230"/>
    <w:rsid w:val="00453D55"/>
    <w:rsid w:val="00455637"/>
    <w:rsid w:val="00462B8B"/>
    <w:rsid w:val="00462E3B"/>
    <w:rsid w:val="00465FB3"/>
    <w:rsid w:val="00466654"/>
    <w:rsid w:val="00487026"/>
    <w:rsid w:val="004A19EE"/>
    <w:rsid w:val="004B134D"/>
    <w:rsid w:val="004B1E1B"/>
    <w:rsid w:val="004B7219"/>
    <w:rsid w:val="004B7762"/>
    <w:rsid w:val="004C2533"/>
    <w:rsid w:val="004C5026"/>
    <w:rsid w:val="004E1308"/>
    <w:rsid w:val="004E4FCE"/>
    <w:rsid w:val="004E597B"/>
    <w:rsid w:val="004F3554"/>
    <w:rsid w:val="004F520F"/>
    <w:rsid w:val="004F7284"/>
    <w:rsid w:val="005034F1"/>
    <w:rsid w:val="005105A1"/>
    <w:rsid w:val="0051137E"/>
    <w:rsid w:val="00512A22"/>
    <w:rsid w:val="00516E62"/>
    <w:rsid w:val="00521BBF"/>
    <w:rsid w:val="0052210D"/>
    <w:rsid w:val="00524D2F"/>
    <w:rsid w:val="00527F6A"/>
    <w:rsid w:val="005309C1"/>
    <w:rsid w:val="005407B5"/>
    <w:rsid w:val="00543DB7"/>
    <w:rsid w:val="005512E4"/>
    <w:rsid w:val="0055595C"/>
    <w:rsid w:val="00556471"/>
    <w:rsid w:val="005564BC"/>
    <w:rsid w:val="0055724C"/>
    <w:rsid w:val="00574449"/>
    <w:rsid w:val="00581956"/>
    <w:rsid w:val="00582453"/>
    <w:rsid w:val="00590D54"/>
    <w:rsid w:val="0059266F"/>
    <w:rsid w:val="00594678"/>
    <w:rsid w:val="00597211"/>
    <w:rsid w:val="005A021B"/>
    <w:rsid w:val="005B17BA"/>
    <w:rsid w:val="005C0537"/>
    <w:rsid w:val="005C25C3"/>
    <w:rsid w:val="005C4D1A"/>
    <w:rsid w:val="005C5A9D"/>
    <w:rsid w:val="005E16E9"/>
    <w:rsid w:val="005E2A0B"/>
    <w:rsid w:val="005E33AD"/>
    <w:rsid w:val="005E34C0"/>
    <w:rsid w:val="005E3980"/>
    <w:rsid w:val="005E7FF9"/>
    <w:rsid w:val="00600E5F"/>
    <w:rsid w:val="00600EE5"/>
    <w:rsid w:val="0060461C"/>
    <w:rsid w:val="006059F1"/>
    <w:rsid w:val="00607AA4"/>
    <w:rsid w:val="00613615"/>
    <w:rsid w:val="00622231"/>
    <w:rsid w:val="00623020"/>
    <w:rsid w:val="0062327F"/>
    <w:rsid w:val="00623812"/>
    <w:rsid w:val="0063408C"/>
    <w:rsid w:val="00634D3E"/>
    <w:rsid w:val="00640194"/>
    <w:rsid w:val="0064123B"/>
    <w:rsid w:val="00645207"/>
    <w:rsid w:val="00647831"/>
    <w:rsid w:val="006504C0"/>
    <w:rsid w:val="006535D6"/>
    <w:rsid w:val="006547B2"/>
    <w:rsid w:val="00656972"/>
    <w:rsid w:val="00663003"/>
    <w:rsid w:val="00663489"/>
    <w:rsid w:val="0066552A"/>
    <w:rsid w:val="0066759E"/>
    <w:rsid w:val="006708CB"/>
    <w:rsid w:val="00674EDC"/>
    <w:rsid w:val="00676CA9"/>
    <w:rsid w:val="006879F3"/>
    <w:rsid w:val="00695FA4"/>
    <w:rsid w:val="006974DB"/>
    <w:rsid w:val="006A3508"/>
    <w:rsid w:val="006A65F3"/>
    <w:rsid w:val="006C65E1"/>
    <w:rsid w:val="006D1814"/>
    <w:rsid w:val="006D30A7"/>
    <w:rsid w:val="006D45A9"/>
    <w:rsid w:val="006E2461"/>
    <w:rsid w:val="006F2455"/>
    <w:rsid w:val="007043CB"/>
    <w:rsid w:val="0071392A"/>
    <w:rsid w:val="00720C41"/>
    <w:rsid w:val="00721033"/>
    <w:rsid w:val="00722464"/>
    <w:rsid w:val="00726155"/>
    <w:rsid w:val="007315D5"/>
    <w:rsid w:val="00734322"/>
    <w:rsid w:val="00742C90"/>
    <w:rsid w:val="00745A09"/>
    <w:rsid w:val="007470B9"/>
    <w:rsid w:val="007478F3"/>
    <w:rsid w:val="0075580A"/>
    <w:rsid w:val="00756ADE"/>
    <w:rsid w:val="00782604"/>
    <w:rsid w:val="00782BC6"/>
    <w:rsid w:val="007830A5"/>
    <w:rsid w:val="00783C87"/>
    <w:rsid w:val="00791CF5"/>
    <w:rsid w:val="007941F7"/>
    <w:rsid w:val="00796338"/>
    <w:rsid w:val="007A2C99"/>
    <w:rsid w:val="007B2978"/>
    <w:rsid w:val="007B338D"/>
    <w:rsid w:val="007B341D"/>
    <w:rsid w:val="007B46C5"/>
    <w:rsid w:val="007C102D"/>
    <w:rsid w:val="007D1B20"/>
    <w:rsid w:val="007D4F72"/>
    <w:rsid w:val="007D5811"/>
    <w:rsid w:val="007D67A7"/>
    <w:rsid w:val="007D6FFC"/>
    <w:rsid w:val="007E7493"/>
    <w:rsid w:val="007F34BF"/>
    <w:rsid w:val="00801416"/>
    <w:rsid w:val="00801DAD"/>
    <w:rsid w:val="00803330"/>
    <w:rsid w:val="00811493"/>
    <w:rsid w:val="008130B3"/>
    <w:rsid w:val="008142F9"/>
    <w:rsid w:val="0082013F"/>
    <w:rsid w:val="008204E1"/>
    <w:rsid w:val="008210F7"/>
    <w:rsid w:val="0082533D"/>
    <w:rsid w:val="0083306C"/>
    <w:rsid w:val="008373F0"/>
    <w:rsid w:val="00840076"/>
    <w:rsid w:val="0084542F"/>
    <w:rsid w:val="00853DAB"/>
    <w:rsid w:val="00857F93"/>
    <w:rsid w:val="00862704"/>
    <w:rsid w:val="00874761"/>
    <w:rsid w:val="00892842"/>
    <w:rsid w:val="008955E0"/>
    <w:rsid w:val="0089775D"/>
    <w:rsid w:val="008A4146"/>
    <w:rsid w:val="008B2A59"/>
    <w:rsid w:val="008B7DCA"/>
    <w:rsid w:val="008C02E1"/>
    <w:rsid w:val="008C5BF5"/>
    <w:rsid w:val="008F41D8"/>
    <w:rsid w:val="008F6F7B"/>
    <w:rsid w:val="009006B9"/>
    <w:rsid w:val="00902B6D"/>
    <w:rsid w:val="009037F8"/>
    <w:rsid w:val="009132CC"/>
    <w:rsid w:val="009155C7"/>
    <w:rsid w:val="00921D6B"/>
    <w:rsid w:val="009251A8"/>
    <w:rsid w:val="0092592B"/>
    <w:rsid w:val="00926C77"/>
    <w:rsid w:val="00927D77"/>
    <w:rsid w:val="0093162C"/>
    <w:rsid w:val="00934483"/>
    <w:rsid w:val="00936F68"/>
    <w:rsid w:val="00944A5F"/>
    <w:rsid w:val="009521FF"/>
    <w:rsid w:val="00962DC3"/>
    <w:rsid w:val="00963CAF"/>
    <w:rsid w:val="009660F6"/>
    <w:rsid w:val="0097025B"/>
    <w:rsid w:val="00973BF4"/>
    <w:rsid w:val="00975332"/>
    <w:rsid w:val="00975FA7"/>
    <w:rsid w:val="00987431"/>
    <w:rsid w:val="0098755E"/>
    <w:rsid w:val="0099294F"/>
    <w:rsid w:val="009B4EF1"/>
    <w:rsid w:val="009B5354"/>
    <w:rsid w:val="009B6BAF"/>
    <w:rsid w:val="009D2B43"/>
    <w:rsid w:val="009D3FD1"/>
    <w:rsid w:val="009F3D20"/>
    <w:rsid w:val="009F3D73"/>
    <w:rsid w:val="009F4613"/>
    <w:rsid w:val="009F4CC2"/>
    <w:rsid w:val="009F513A"/>
    <w:rsid w:val="00A01FD5"/>
    <w:rsid w:val="00A04AB5"/>
    <w:rsid w:val="00A2131E"/>
    <w:rsid w:val="00A232FC"/>
    <w:rsid w:val="00A241CB"/>
    <w:rsid w:val="00A26967"/>
    <w:rsid w:val="00A462F9"/>
    <w:rsid w:val="00A54BB5"/>
    <w:rsid w:val="00A55C2D"/>
    <w:rsid w:val="00A5770B"/>
    <w:rsid w:val="00A64F3C"/>
    <w:rsid w:val="00A664DB"/>
    <w:rsid w:val="00A716C5"/>
    <w:rsid w:val="00A71F29"/>
    <w:rsid w:val="00A73C65"/>
    <w:rsid w:val="00A74429"/>
    <w:rsid w:val="00A86661"/>
    <w:rsid w:val="00A94229"/>
    <w:rsid w:val="00AA3DFB"/>
    <w:rsid w:val="00AA58EC"/>
    <w:rsid w:val="00AA63CD"/>
    <w:rsid w:val="00AA7298"/>
    <w:rsid w:val="00AB1C74"/>
    <w:rsid w:val="00AB3210"/>
    <w:rsid w:val="00AC3913"/>
    <w:rsid w:val="00AC406C"/>
    <w:rsid w:val="00AC5D55"/>
    <w:rsid w:val="00AC67DD"/>
    <w:rsid w:val="00AC7DAD"/>
    <w:rsid w:val="00AD36A8"/>
    <w:rsid w:val="00AD4B33"/>
    <w:rsid w:val="00AE0A60"/>
    <w:rsid w:val="00AF4398"/>
    <w:rsid w:val="00B04D31"/>
    <w:rsid w:val="00B04D56"/>
    <w:rsid w:val="00B12673"/>
    <w:rsid w:val="00B256DB"/>
    <w:rsid w:val="00B33BF8"/>
    <w:rsid w:val="00B36BDB"/>
    <w:rsid w:val="00B414C1"/>
    <w:rsid w:val="00B41739"/>
    <w:rsid w:val="00B434C0"/>
    <w:rsid w:val="00B558FA"/>
    <w:rsid w:val="00B67D0E"/>
    <w:rsid w:val="00B72F36"/>
    <w:rsid w:val="00B74818"/>
    <w:rsid w:val="00B75859"/>
    <w:rsid w:val="00B77DDE"/>
    <w:rsid w:val="00B8503F"/>
    <w:rsid w:val="00B852FA"/>
    <w:rsid w:val="00B91CCB"/>
    <w:rsid w:val="00BA1B71"/>
    <w:rsid w:val="00BA2941"/>
    <w:rsid w:val="00BA642A"/>
    <w:rsid w:val="00BB705C"/>
    <w:rsid w:val="00BC3188"/>
    <w:rsid w:val="00BC593C"/>
    <w:rsid w:val="00BC7EAE"/>
    <w:rsid w:val="00BE1F82"/>
    <w:rsid w:val="00BE28CB"/>
    <w:rsid w:val="00BE4240"/>
    <w:rsid w:val="00BE4395"/>
    <w:rsid w:val="00BE66F5"/>
    <w:rsid w:val="00BE7E7D"/>
    <w:rsid w:val="00C00C19"/>
    <w:rsid w:val="00C04864"/>
    <w:rsid w:val="00C12839"/>
    <w:rsid w:val="00C131D9"/>
    <w:rsid w:val="00C25DC6"/>
    <w:rsid w:val="00C410A7"/>
    <w:rsid w:val="00C45A5B"/>
    <w:rsid w:val="00C50B54"/>
    <w:rsid w:val="00C52DB5"/>
    <w:rsid w:val="00C674AE"/>
    <w:rsid w:val="00C8067C"/>
    <w:rsid w:val="00C82BE8"/>
    <w:rsid w:val="00C84330"/>
    <w:rsid w:val="00C849E0"/>
    <w:rsid w:val="00C946D7"/>
    <w:rsid w:val="00C95310"/>
    <w:rsid w:val="00CA1653"/>
    <w:rsid w:val="00CB0445"/>
    <w:rsid w:val="00CB5E09"/>
    <w:rsid w:val="00CC2618"/>
    <w:rsid w:val="00CC3156"/>
    <w:rsid w:val="00CD0D49"/>
    <w:rsid w:val="00CE4838"/>
    <w:rsid w:val="00CE548D"/>
    <w:rsid w:val="00CF3D27"/>
    <w:rsid w:val="00D0461F"/>
    <w:rsid w:val="00D107D5"/>
    <w:rsid w:val="00D140D9"/>
    <w:rsid w:val="00D169D8"/>
    <w:rsid w:val="00D27E54"/>
    <w:rsid w:val="00D3486E"/>
    <w:rsid w:val="00D35205"/>
    <w:rsid w:val="00D352E3"/>
    <w:rsid w:val="00D36752"/>
    <w:rsid w:val="00D371B1"/>
    <w:rsid w:val="00D41BBF"/>
    <w:rsid w:val="00D4301B"/>
    <w:rsid w:val="00D6221A"/>
    <w:rsid w:val="00D7044A"/>
    <w:rsid w:val="00D81726"/>
    <w:rsid w:val="00D95F37"/>
    <w:rsid w:val="00DA2360"/>
    <w:rsid w:val="00DA2627"/>
    <w:rsid w:val="00DA392A"/>
    <w:rsid w:val="00DA5244"/>
    <w:rsid w:val="00DB3258"/>
    <w:rsid w:val="00DB3836"/>
    <w:rsid w:val="00DB4F47"/>
    <w:rsid w:val="00DC510F"/>
    <w:rsid w:val="00DD0571"/>
    <w:rsid w:val="00DD1E44"/>
    <w:rsid w:val="00DD3701"/>
    <w:rsid w:val="00DD4592"/>
    <w:rsid w:val="00DD6AFE"/>
    <w:rsid w:val="00DD7101"/>
    <w:rsid w:val="00DD7D24"/>
    <w:rsid w:val="00DE7C58"/>
    <w:rsid w:val="00DF6B84"/>
    <w:rsid w:val="00E00487"/>
    <w:rsid w:val="00E00F68"/>
    <w:rsid w:val="00E0304A"/>
    <w:rsid w:val="00E05A27"/>
    <w:rsid w:val="00E06A37"/>
    <w:rsid w:val="00E1184E"/>
    <w:rsid w:val="00E17FB2"/>
    <w:rsid w:val="00E27E80"/>
    <w:rsid w:val="00E354EF"/>
    <w:rsid w:val="00E36737"/>
    <w:rsid w:val="00E40833"/>
    <w:rsid w:val="00E412A4"/>
    <w:rsid w:val="00E4322D"/>
    <w:rsid w:val="00E46AEC"/>
    <w:rsid w:val="00E4720A"/>
    <w:rsid w:val="00E54A93"/>
    <w:rsid w:val="00E56851"/>
    <w:rsid w:val="00E6263E"/>
    <w:rsid w:val="00E73C33"/>
    <w:rsid w:val="00E8593D"/>
    <w:rsid w:val="00E860B8"/>
    <w:rsid w:val="00E87B2C"/>
    <w:rsid w:val="00E93F46"/>
    <w:rsid w:val="00EA2B4F"/>
    <w:rsid w:val="00EA3658"/>
    <w:rsid w:val="00EB3BA2"/>
    <w:rsid w:val="00EB4DBA"/>
    <w:rsid w:val="00EB64E4"/>
    <w:rsid w:val="00ED04B7"/>
    <w:rsid w:val="00ED0862"/>
    <w:rsid w:val="00ED2A20"/>
    <w:rsid w:val="00ED52B9"/>
    <w:rsid w:val="00EE0E97"/>
    <w:rsid w:val="00EE1492"/>
    <w:rsid w:val="00EE4B69"/>
    <w:rsid w:val="00EE7A76"/>
    <w:rsid w:val="00F00DE6"/>
    <w:rsid w:val="00F15773"/>
    <w:rsid w:val="00F17090"/>
    <w:rsid w:val="00F23A89"/>
    <w:rsid w:val="00F2551A"/>
    <w:rsid w:val="00F43A49"/>
    <w:rsid w:val="00F43A6A"/>
    <w:rsid w:val="00F46EBB"/>
    <w:rsid w:val="00F478D0"/>
    <w:rsid w:val="00F520FC"/>
    <w:rsid w:val="00F60187"/>
    <w:rsid w:val="00F610B5"/>
    <w:rsid w:val="00F74469"/>
    <w:rsid w:val="00F74954"/>
    <w:rsid w:val="00F74C90"/>
    <w:rsid w:val="00F7687E"/>
    <w:rsid w:val="00F80316"/>
    <w:rsid w:val="00F96841"/>
    <w:rsid w:val="00F97821"/>
    <w:rsid w:val="00FA4BA2"/>
    <w:rsid w:val="00FA5266"/>
    <w:rsid w:val="00FB455F"/>
    <w:rsid w:val="00FC219E"/>
    <w:rsid w:val="00FC277A"/>
    <w:rsid w:val="00FC4868"/>
    <w:rsid w:val="00FC5959"/>
    <w:rsid w:val="00FD0D8D"/>
    <w:rsid w:val="00FE0E64"/>
    <w:rsid w:val="00FE7B7D"/>
    <w:rsid w:val="00FF0467"/>
    <w:rsid w:val="00FF68FD"/>
    <w:rsid w:val="0ACE24E6"/>
    <w:rsid w:val="0EFC007C"/>
    <w:rsid w:val="100A0A21"/>
    <w:rsid w:val="32374A1B"/>
    <w:rsid w:val="3F697770"/>
    <w:rsid w:val="3FC13DF1"/>
    <w:rsid w:val="424E1CCE"/>
    <w:rsid w:val="43193DDE"/>
    <w:rsid w:val="484D0086"/>
    <w:rsid w:val="4ABE57D9"/>
    <w:rsid w:val="4CD3324F"/>
    <w:rsid w:val="552A7C79"/>
    <w:rsid w:val="569F7303"/>
    <w:rsid w:val="5D877B1A"/>
    <w:rsid w:val="665D000C"/>
    <w:rsid w:val="738325DA"/>
    <w:rsid w:val="74E90BE7"/>
    <w:rsid w:val="75B425C2"/>
    <w:rsid w:val="7FBA5A2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宋体" w:hAnsi="宋体" w:eastAsia="仿宋_GB2312" w:cs="Times New Roman"/>
      <w:kern w:val="2"/>
      <w:sz w:val="32"/>
      <w:szCs w:val="32"/>
      <w:lang w:val="en-US" w:eastAsia="zh-CN" w:bidi="ar-SA"/>
    </w:rPr>
  </w:style>
  <w:style w:type="paragraph" w:styleId="2">
    <w:name w:val="heading 1"/>
    <w:basedOn w:val="1"/>
    <w:next w:val="1"/>
    <w:qFormat/>
    <w:uiPriority w:val="0"/>
    <w:pPr>
      <w:keepNext/>
      <w:keepLines/>
      <w:spacing w:line="600" w:lineRule="exact"/>
      <w:ind w:firstLine="0" w:firstLineChars="0"/>
      <w:jc w:val="center"/>
      <w:outlineLvl w:val="0"/>
    </w:pPr>
    <w:rPr>
      <w:rFonts w:eastAsia="方正小标宋简体"/>
      <w:bCs/>
      <w:kern w:val="44"/>
      <w:sz w:val="44"/>
      <w:szCs w:val="44"/>
    </w:rPr>
  </w:style>
  <w:style w:type="paragraph" w:styleId="3">
    <w:name w:val="heading 2"/>
    <w:basedOn w:val="1"/>
    <w:next w:val="1"/>
    <w:qFormat/>
    <w:uiPriority w:val="0"/>
    <w:pPr>
      <w:keepNext/>
      <w:keepLines/>
      <w:ind w:firstLine="200" w:firstLineChars="200"/>
      <w:outlineLvl w:val="1"/>
    </w:pPr>
    <w:rPr>
      <w:rFonts w:eastAsia="黑体"/>
      <w:bCs/>
    </w:rPr>
  </w:style>
  <w:style w:type="paragraph" w:styleId="4">
    <w:name w:val="heading 3"/>
    <w:basedOn w:val="1"/>
    <w:next w:val="1"/>
    <w:qFormat/>
    <w:uiPriority w:val="0"/>
    <w:pPr>
      <w:keepNext/>
      <w:keepLines/>
      <w:ind w:firstLine="200" w:firstLineChars="200"/>
      <w:outlineLvl w:val="2"/>
    </w:pPr>
    <w:rPr>
      <w:rFonts w:eastAsia="楷体_GB2312"/>
      <w:b/>
      <w:bCs/>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ind w:firstLine="0" w:firstLineChars="0"/>
      <w:jc w:val="left"/>
    </w:pPr>
    <w:rPr>
      <w:rFonts w:hint="eastAsia" w:eastAsia="宋体"/>
      <w:kern w:val="0"/>
      <w:sz w:val="24"/>
      <w:szCs w:val="24"/>
    </w:rPr>
  </w:style>
  <w:style w:type="table" w:styleId="9">
    <w:name w:val="Table Grid"/>
    <w:basedOn w:val="8"/>
    <w:qFormat/>
    <w:uiPriority w:val="0"/>
    <w:pPr>
      <w:widowControl w:val="0"/>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4</Pages>
  <Words>1535</Words>
  <Characters>1555</Characters>
  <Lines>11</Lines>
  <Paragraphs>3</Paragraphs>
  <TotalTime>4</TotalTime>
  <ScaleCrop>false</ScaleCrop>
  <LinksUpToDate>false</LinksUpToDate>
  <CharactersWithSpaces>1555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2025-09-11T08:17:00Z</dcterms:created>
  <dc:creator>xb21cn</dc:creator>
  <cp:lastModifiedBy>小猪</cp:lastModifiedBy>
  <cp:lastPrinted>2025-11-12T09:41:00Z</cp:lastPrinted>
  <dcterms:modified xsi:type="dcterms:W3CDTF">2025-11-13T02:02:46Z</dcterms:modified>
  <dc:title>赣市发改党组字〔2012〕1号             签发人：梁丁盛</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eyJoZGlkIjoiMzEwNTM5NzYwMDRjMzkwZTVkZjY2ODkwMGIxNGU0OTUiLCJ1c2VySWQiOiIzNDQyMzg4OTQifQ==</vt:lpwstr>
  </property>
  <property fmtid="{D5CDD505-2E9C-101B-9397-08002B2CF9AE}" pid="3" name="KSOProductBuildVer">
    <vt:lpwstr>2052-12.1.0.23542</vt:lpwstr>
  </property>
  <property fmtid="{D5CDD505-2E9C-101B-9397-08002B2CF9AE}" pid="4" name="ICV">
    <vt:lpwstr>1B606BA7FE114353A79971905C3F39E7_13</vt:lpwstr>
  </property>
</Properties>
</file>